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DB0" w:rsidRDefault="00D6126F" w:rsidP="00D6126F">
      <w:pPr>
        <w:jc w:val="center"/>
        <w:rPr>
          <w:sz w:val="28"/>
          <w:szCs w:val="28"/>
        </w:rPr>
      </w:pPr>
      <w:bookmarkStart w:id="0" w:name="_GoBack"/>
      <w:bookmarkEnd w:id="0"/>
      <w:r>
        <w:rPr>
          <w:b/>
          <w:noProof/>
          <w:color w:val="000000"/>
          <w:sz w:val="28"/>
          <w:szCs w:val="28"/>
          <w:lang w:val="en-PH"/>
        </w:rPr>
        <w:drawing>
          <wp:anchor distT="0" distB="0" distL="114300" distR="114300" simplePos="0" relativeHeight="251660287" behindDoc="1" locked="0" layoutInCell="1" allowOverlap="1">
            <wp:simplePos x="0" y="0"/>
            <wp:positionH relativeFrom="column">
              <wp:posOffset>-682751</wp:posOffset>
            </wp:positionH>
            <wp:positionV relativeFrom="paragraph">
              <wp:posOffset>-524256</wp:posOffset>
            </wp:positionV>
            <wp:extent cx="963168" cy="1340340"/>
            <wp:effectExtent l="0" t="0" r="8890" b="0"/>
            <wp:wrapNone/>
            <wp:docPr id="72" name="Picture 72" descr="Philsca logo b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hilsca logo best.jpg"/>
                    <pic:cNvPicPr>
                      <a:picLocks noChangeAspect="1" noChangeArrowheads="1"/>
                    </pic:cNvPicPr>
                  </pic:nvPicPr>
                  <pic:blipFill>
                    <a:blip r:embed="rId8">
                      <a:clrChange>
                        <a:clrFrom>
                          <a:srgbClr val="FFFFFF"/>
                        </a:clrFrom>
                        <a:clrTo>
                          <a:srgbClr val="FFFFFF">
                            <a:alpha val="0"/>
                          </a:srgbClr>
                        </a:clrTo>
                      </a:clrChange>
                      <a:lum bright="-6000" contrast="-12000"/>
                      <a:extLst>
                        <a:ext uri="{28A0092B-C50C-407E-A947-70E740481C1C}">
                          <a14:useLocalDpi xmlns:a14="http://schemas.microsoft.com/office/drawing/2010/main" val="0"/>
                        </a:ext>
                      </a:extLst>
                    </a:blip>
                    <a:srcRect/>
                    <a:stretch>
                      <a:fillRect/>
                    </a:stretch>
                  </pic:blipFill>
                  <pic:spPr bwMode="auto">
                    <a:xfrm>
                      <a:off x="0" y="0"/>
                      <a:ext cx="971038" cy="1351292"/>
                    </a:xfrm>
                    <a:prstGeom prst="rect">
                      <a:avLst/>
                    </a:prstGeom>
                    <a:noFill/>
                    <a:ln>
                      <a:noFill/>
                    </a:ln>
                  </pic:spPr>
                </pic:pic>
              </a:graphicData>
            </a:graphic>
            <wp14:sizeRelH relativeFrom="margin">
              <wp14:pctWidth>0</wp14:pctWidth>
            </wp14:sizeRelH>
            <wp14:sizeRelV relativeFrom="margin">
              <wp14:pctHeight>0</wp14:pctHeight>
            </wp14:sizeRelV>
          </wp:anchor>
        </w:drawing>
      </w:r>
      <w:r>
        <w:rPr>
          <w:sz w:val="28"/>
          <w:szCs w:val="28"/>
        </w:rPr>
        <w:t>Republic of the Philippines</w:t>
      </w:r>
    </w:p>
    <w:p w:rsidR="00D6126F" w:rsidRDefault="00D6126F" w:rsidP="00D6126F">
      <w:pPr>
        <w:jc w:val="center"/>
        <w:rPr>
          <w:b/>
          <w:color w:val="000000"/>
          <w:sz w:val="28"/>
          <w:szCs w:val="28"/>
          <w:lang w:val="en-PH"/>
        </w:rPr>
      </w:pPr>
      <w:r>
        <w:rPr>
          <w:b/>
          <w:color w:val="000000"/>
          <w:sz w:val="28"/>
          <w:szCs w:val="28"/>
          <w:lang w:val="en-PH"/>
        </w:rPr>
        <w:t>PHILIPPINE STATE COLLEGE OF AERONAUTICS</w:t>
      </w:r>
    </w:p>
    <w:p w:rsidR="00D6126F" w:rsidRDefault="00EC79D6" w:rsidP="00D21338">
      <w:pPr>
        <w:tabs>
          <w:tab w:val="left" w:pos="8640"/>
        </w:tabs>
        <w:ind w:firstLine="2160"/>
        <w:rPr>
          <w:b/>
          <w:color w:val="000000"/>
          <w:sz w:val="28"/>
          <w:szCs w:val="28"/>
          <w:lang w:val="en-PH"/>
        </w:rPr>
      </w:pPr>
      <w:r>
        <w:rPr>
          <w:b/>
          <w:color w:val="000000"/>
          <w:sz w:val="28"/>
          <w:szCs w:val="28"/>
          <w:lang w:val="en-PH"/>
        </w:rPr>
        <w:t>Notes to Financial Statements</w:t>
      </w:r>
    </w:p>
    <w:p w:rsidR="00D6126F" w:rsidRPr="00A01253" w:rsidRDefault="00A01253" w:rsidP="0051596C">
      <w:pPr>
        <w:ind w:left="2160"/>
        <w:rPr>
          <w:color w:val="000000"/>
          <w:sz w:val="24"/>
          <w:szCs w:val="28"/>
          <w:lang w:val="en-PH"/>
        </w:rPr>
      </w:pPr>
      <w:r>
        <w:rPr>
          <w:color w:val="000000"/>
          <w:sz w:val="24"/>
          <w:szCs w:val="28"/>
          <w:lang w:val="en-PH"/>
        </w:rPr>
        <w:t>For the Y</w:t>
      </w:r>
      <w:r w:rsidR="00D6126F" w:rsidRPr="00A01253">
        <w:rPr>
          <w:color w:val="000000"/>
          <w:sz w:val="24"/>
          <w:szCs w:val="28"/>
          <w:lang w:val="en-PH"/>
        </w:rPr>
        <w:t>ear ended December 31, 2016</w:t>
      </w:r>
    </w:p>
    <w:p w:rsidR="00D6126F" w:rsidRPr="00D6126F" w:rsidRDefault="00D6126F" w:rsidP="00D6126F">
      <w:pPr>
        <w:tabs>
          <w:tab w:val="left" w:pos="8640"/>
        </w:tabs>
        <w:jc w:val="center"/>
        <w:rPr>
          <w:color w:val="000000"/>
          <w:sz w:val="28"/>
          <w:szCs w:val="28"/>
          <w:lang w:val="en-PH"/>
        </w:rPr>
      </w:pPr>
    </w:p>
    <w:p w:rsidR="003E4DB0" w:rsidRPr="003E4DB0" w:rsidRDefault="003E4DB0" w:rsidP="00F21342">
      <w:pPr>
        <w:pStyle w:val="BodyTextIndent"/>
        <w:numPr>
          <w:ilvl w:val="0"/>
          <w:numId w:val="1"/>
        </w:numPr>
        <w:pBdr>
          <w:top w:val="single" w:sz="4" w:space="20" w:color="auto"/>
        </w:pBdr>
        <w:spacing w:line="240" w:lineRule="atLeast"/>
        <w:ind w:left="426" w:hanging="426"/>
        <w:rPr>
          <w:b/>
          <w:szCs w:val="24"/>
        </w:rPr>
      </w:pPr>
      <w:r w:rsidRPr="003E4DB0">
        <w:rPr>
          <w:b/>
          <w:szCs w:val="24"/>
        </w:rPr>
        <w:t>General Information/Agency Profile</w:t>
      </w:r>
    </w:p>
    <w:p w:rsidR="003E4DB0" w:rsidRPr="003E4DB0" w:rsidRDefault="00EB0B11" w:rsidP="00124F98">
      <w:pPr>
        <w:pStyle w:val="BodyTextIndent"/>
        <w:tabs>
          <w:tab w:val="left" w:pos="6433"/>
        </w:tabs>
        <w:ind w:left="0" w:firstLine="0"/>
        <w:rPr>
          <w:szCs w:val="24"/>
        </w:rPr>
      </w:pPr>
      <w:r>
        <w:rPr>
          <w:szCs w:val="24"/>
        </w:rPr>
        <w:tab/>
      </w:r>
    </w:p>
    <w:p w:rsidR="0091789A"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The financial statements of the Philippine State College of Aeronautics (</w:t>
      </w:r>
      <w:proofErr w:type="spellStart"/>
      <w:r w:rsidRPr="003E4DB0">
        <w:rPr>
          <w:szCs w:val="24"/>
        </w:rPr>
        <w:t>PhilSCA</w:t>
      </w:r>
      <w:proofErr w:type="spellEnd"/>
      <w:r w:rsidRPr="003E4DB0">
        <w:rPr>
          <w:szCs w:val="24"/>
        </w:rPr>
        <w:t>) were au</w:t>
      </w:r>
      <w:r w:rsidR="00322608">
        <w:rPr>
          <w:szCs w:val="24"/>
        </w:rPr>
        <w:t>thorized for issue on February 13</w:t>
      </w:r>
      <w:r w:rsidRPr="003E4DB0">
        <w:rPr>
          <w:szCs w:val="24"/>
        </w:rPr>
        <w:t xml:space="preserve">, 2017 as shown in the Statement of Management Responsibility for Financial Statements signed by the Vice-President for Administration </w:t>
      </w:r>
      <w:r w:rsidR="00B803ED">
        <w:rPr>
          <w:szCs w:val="24"/>
        </w:rPr>
        <w:t>and</w:t>
      </w:r>
      <w:r w:rsidRPr="003E4DB0">
        <w:rPr>
          <w:szCs w:val="24"/>
        </w:rPr>
        <w:t xml:space="preserve"> Finance – Officer-in-Charge and the</w:t>
      </w:r>
      <w:r w:rsidR="00AF13AC">
        <w:rPr>
          <w:szCs w:val="24"/>
        </w:rPr>
        <w:t xml:space="preserve"> </w:t>
      </w:r>
      <w:proofErr w:type="spellStart"/>
      <w:r w:rsidR="004838D4">
        <w:rPr>
          <w:szCs w:val="24"/>
        </w:rPr>
        <w:t>PhilSCA</w:t>
      </w:r>
      <w:proofErr w:type="spellEnd"/>
      <w:r w:rsidR="00AF13AC">
        <w:rPr>
          <w:szCs w:val="24"/>
        </w:rPr>
        <w:t xml:space="preserve"> </w:t>
      </w:r>
      <w:r w:rsidRPr="003E4DB0">
        <w:rPr>
          <w:szCs w:val="24"/>
        </w:rPr>
        <w:t>President.</w:t>
      </w:r>
    </w:p>
    <w:p w:rsidR="0091789A" w:rsidRPr="003E4DB0" w:rsidRDefault="0091789A" w:rsidP="00A004D1">
      <w:pPr>
        <w:pStyle w:val="BodyTextIndent"/>
        <w:tabs>
          <w:tab w:val="left" w:pos="8190"/>
          <w:tab w:val="left" w:pos="8370"/>
        </w:tabs>
        <w:ind w:left="270" w:firstLine="0"/>
        <w:rPr>
          <w:szCs w:val="24"/>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It was initially established in 1967 as </w:t>
      </w:r>
      <w:proofErr w:type="spellStart"/>
      <w:r w:rsidRPr="003E4DB0">
        <w:rPr>
          <w:szCs w:val="24"/>
        </w:rPr>
        <w:t>Basa</w:t>
      </w:r>
      <w:proofErr w:type="spellEnd"/>
      <w:r w:rsidRPr="003E4DB0">
        <w:rPr>
          <w:szCs w:val="24"/>
        </w:rPr>
        <w:t xml:space="preserve"> Air Base Community College</w:t>
      </w:r>
      <w:r w:rsidR="00F21342">
        <w:rPr>
          <w:szCs w:val="24"/>
        </w:rPr>
        <w:t xml:space="preserve"> </w:t>
      </w:r>
      <w:r w:rsidR="00A4243E">
        <w:rPr>
          <w:szCs w:val="24"/>
        </w:rPr>
        <w:t>under AFP Regulations S</w:t>
      </w:r>
      <w:r w:rsidR="00337701">
        <w:rPr>
          <w:szCs w:val="24"/>
        </w:rPr>
        <w:t>eries of</w:t>
      </w:r>
      <w:r w:rsidRPr="003E4DB0">
        <w:rPr>
          <w:szCs w:val="24"/>
        </w:rPr>
        <w:t xml:space="preserve"> 168-342 issued by the </w:t>
      </w:r>
      <w:hyperlink r:id="rId9" w:tooltip="Armed Forces of the Philippines" w:history="1">
        <w:r w:rsidRPr="003E4DB0">
          <w:rPr>
            <w:rStyle w:val="Hyperlink"/>
            <w:color w:val="auto"/>
            <w:szCs w:val="24"/>
            <w:u w:val="none"/>
          </w:rPr>
          <w:t>Armed Forces of the Philippines</w:t>
        </w:r>
      </w:hyperlink>
      <w:r w:rsidR="00A4243E">
        <w:rPr>
          <w:szCs w:val="24"/>
        </w:rPr>
        <w:t xml:space="preserve"> on</w:t>
      </w:r>
      <w:r w:rsidRPr="003E4DB0">
        <w:rPr>
          <w:szCs w:val="24"/>
        </w:rPr>
        <w:t xml:space="preserve"> April </w:t>
      </w:r>
      <w:r w:rsidR="00A4243E">
        <w:rPr>
          <w:szCs w:val="24"/>
        </w:rPr>
        <w:t xml:space="preserve">1, </w:t>
      </w:r>
      <w:r w:rsidRPr="003E4DB0">
        <w:rPr>
          <w:szCs w:val="24"/>
        </w:rPr>
        <w:t xml:space="preserve">1968 under the </w:t>
      </w:r>
      <w:hyperlink r:id="rId10" w:tooltip="Department of National Defense (Philippines)" w:history="1">
        <w:r w:rsidRPr="003E4DB0">
          <w:rPr>
            <w:rStyle w:val="Hyperlink"/>
            <w:color w:val="auto"/>
            <w:szCs w:val="24"/>
            <w:u w:val="none"/>
          </w:rPr>
          <w:t>Department of National Defense</w:t>
        </w:r>
      </w:hyperlink>
      <w:r w:rsidR="002009E4">
        <w:rPr>
          <w:szCs w:val="24"/>
        </w:rPr>
        <w:t>.</w:t>
      </w:r>
    </w:p>
    <w:p w:rsidR="003E4DB0" w:rsidRPr="003E4DB0" w:rsidRDefault="003E4DB0" w:rsidP="00A004D1">
      <w:pPr>
        <w:pStyle w:val="BodyTextIndent"/>
        <w:tabs>
          <w:tab w:val="left" w:pos="8190"/>
        </w:tabs>
        <w:ind w:left="270" w:firstLine="0"/>
        <w:rPr>
          <w:szCs w:val="24"/>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In 1977, </w:t>
      </w:r>
      <w:proofErr w:type="spellStart"/>
      <w:r w:rsidRPr="003E4DB0">
        <w:rPr>
          <w:szCs w:val="24"/>
        </w:rPr>
        <w:t>Basa</w:t>
      </w:r>
      <w:proofErr w:type="spellEnd"/>
      <w:r w:rsidRPr="003E4DB0">
        <w:rPr>
          <w:szCs w:val="24"/>
        </w:rPr>
        <w:t xml:space="preserve"> Air Base College (BABC) established an annex in Nichols Air Base (currently </w:t>
      </w:r>
      <w:proofErr w:type="spellStart"/>
      <w:r w:rsidRPr="003E4DB0">
        <w:rPr>
          <w:szCs w:val="24"/>
        </w:rPr>
        <w:t>Villamor</w:t>
      </w:r>
      <w:proofErr w:type="spellEnd"/>
      <w:r w:rsidRPr="003E4DB0">
        <w:rPr>
          <w:szCs w:val="24"/>
        </w:rPr>
        <w:t xml:space="preserve"> Air Base) in Pasay City known as BABC-Annex.</w:t>
      </w:r>
      <w:r w:rsidR="00F21342">
        <w:rPr>
          <w:szCs w:val="24"/>
        </w:rPr>
        <w:t xml:space="preserve"> </w:t>
      </w:r>
      <w:r w:rsidRPr="003E4DB0">
        <w:rPr>
          <w:szCs w:val="24"/>
        </w:rPr>
        <w:t xml:space="preserve">In the same year, satellite campus was established in Fernando Air Base in </w:t>
      </w:r>
      <w:proofErr w:type="spellStart"/>
      <w:r w:rsidRPr="003E4DB0">
        <w:rPr>
          <w:szCs w:val="24"/>
        </w:rPr>
        <w:t>Lipa</w:t>
      </w:r>
      <w:proofErr w:type="spellEnd"/>
      <w:r w:rsidRPr="003E4DB0">
        <w:rPr>
          <w:szCs w:val="24"/>
        </w:rPr>
        <w:t xml:space="preserve"> City, </w:t>
      </w:r>
      <w:proofErr w:type="spellStart"/>
      <w:r w:rsidRPr="003E4DB0">
        <w:rPr>
          <w:szCs w:val="24"/>
        </w:rPr>
        <w:t>Batangas</w:t>
      </w:r>
      <w:proofErr w:type="spellEnd"/>
      <w:r w:rsidRPr="003E4DB0">
        <w:rPr>
          <w:szCs w:val="24"/>
        </w:rPr>
        <w:t>.</w:t>
      </w:r>
    </w:p>
    <w:p w:rsidR="003E4DB0" w:rsidRPr="003E4DB0" w:rsidRDefault="003E4DB0" w:rsidP="00A004D1">
      <w:pPr>
        <w:pStyle w:val="BodyTextIndent"/>
        <w:ind w:left="270" w:firstLine="0"/>
        <w:rPr>
          <w:szCs w:val="24"/>
        </w:rPr>
      </w:pPr>
    </w:p>
    <w:p w:rsidR="003E4DB0" w:rsidRDefault="002009E4" w:rsidP="00F21342">
      <w:pPr>
        <w:pStyle w:val="BodyTextIndent"/>
        <w:tabs>
          <w:tab w:val="left" w:pos="7920"/>
          <w:tab w:val="left" w:pos="8100"/>
          <w:tab w:val="left" w:pos="8460"/>
          <w:tab w:val="left" w:pos="8550"/>
          <w:tab w:val="left" w:pos="8640"/>
          <w:tab w:val="left" w:pos="9360"/>
        </w:tabs>
        <w:ind w:left="426" w:firstLine="0"/>
        <w:rPr>
          <w:szCs w:val="24"/>
        </w:rPr>
      </w:pPr>
      <w:r>
        <w:rPr>
          <w:szCs w:val="24"/>
        </w:rPr>
        <w:t>Also in 1977</w:t>
      </w:r>
      <w:r w:rsidR="003E4DB0" w:rsidRPr="003E4DB0">
        <w:rPr>
          <w:szCs w:val="24"/>
        </w:rPr>
        <w:t xml:space="preserve">, President Ferdinand E. Marcos signed Presidential Decree No. 1078 converting </w:t>
      </w:r>
      <w:proofErr w:type="spellStart"/>
      <w:r w:rsidR="003E4DB0" w:rsidRPr="003E4DB0">
        <w:rPr>
          <w:szCs w:val="24"/>
        </w:rPr>
        <w:t>Basa</w:t>
      </w:r>
      <w:proofErr w:type="spellEnd"/>
      <w:r w:rsidR="003E4DB0" w:rsidRPr="003E4DB0">
        <w:rPr>
          <w:szCs w:val="24"/>
        </w:rPr>
        <w:t xml:space="preserve"> Air Base Community College to Philippine Air Force College of Aeronautics with its main campus in </w:t>
      </w:r>
      <w:proofErr w:type="spellStart"/>
      <w:r w:rsidR="003E4DB0" w:rsidRPr="003E4DB0">
        <w:rPr>
          <w:szCs w:val="24"/>
        </w:rPr>
        <w:t>Villamor</w:t>
      </w:r>
      <w:proofErr w:type="spellEnd"/>
      <w:r w:rsidR="003E4DB0" w:rsidRPr="003E4DB0">
        <w:rPr>
          <w:szCs w:val="24"/>
        </w:rPr>
        <w:t xml:space="preserve"> Air Base, Pasay City, </w:t>
      </w:r>
      <w:proofErr w:type="gramStart"/>
      <w:r w:rsidR="003E4DB0" w:rsidRPr="003E4DB0">
        <w:rPr>
          <w:szCs w:val="24"/>
        </w:rPr>
        <w:t>Metro</w:t>
      </w:r>
      <w:proofErr w:type="gramEnd"/>
      <w:r w:rsidR="003E4DB0" w:rsidRPr="003E4DB0">
        <w:rPr>
          <w:szCs w:val="24"/>
        </w:rPr>
        <w:t xml:space="preserve"> Manila. </w:t>
      </w:r>
    </w:p>
    <w:p w:rsidR="009F4FDC" w:rsidRPr="003E4DB0" w:rsidRDefault="009F4FDC" w:rsidP="00F21342">
      <w:pPr>
        <w:pStyle w:val="BodyTextIndent"/>
        <w:ind w:left="426" w:firstLine="0"/>
        <w:rPr>
          <w:szCs w:val="24"/>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In 1979, another satellite campus was established in </w:t>
      </w:r>
      <w:proofErr w:type="spellStart"/>
      <w:r w:rsidRPr="003E4DB0">
        <w:rPr>
          <w:szCs w:val="24"/>
        </w:rPr>
        <w:t>Mactan</w:t>
      </w:r>
      <w:proofErr w:type="spellEnd"/>
      <w:r w:rsidRPr="003E4DB0">
        <w:rPr>
          <w:szCs w:val="24"/>
        </w:rPr>
        <w:t xml:space="preserve"> Benito </w:t>
      </w:r>
      <w:proofErr w:type="spellStart"/>
      <w:r w:rsidRPr="003E4DB0">
        <w:rPr>
          <w:szCs w:val="24"/>
        </w:rPr>
        <w:t>Ebuen</w:t>
      </w:r>
      <w:proofErr w:type="spellEnd"/>
      <w:r w:rsidRPr="003E4DB0">
        <w:rPr>
          <w:szCs w:val="24"/>
        </w:rPr>
        <w:t xml:space="preserve"> Air Base Campus in </w:t>
      </w:r>
      <w:proofErr w:type="spellStart"/>
      <w:r w:rsidRPr="003E4DB0">
        <w:rPr>
          <w:szCs w:val="24"/>
        </w:rPr>
        <w:t>Lapu</w:t>
      </w:r>
      <w:r w:rsidR="00CD0870">
        <w:rPr>
          <w:szCs w:val="24"/>
        </w:rPr>
        <w:t>L</w:t>
      </w:r>
      <w:r w:rsidRPr="003E4DB0">
        <w:rPr>
          <w:szCs w:val="24"/>
        </w:rPr>
        <w:t>apu</w:t>
      </w:r>
      <w:proofErr w:type="spellEnd"/>
      <w:r w:rsidRPr="003E4DB0">
        <w:rPr>
          <w:szCs w:val="24"/>
        </w:rPr>
        <w:t xml:space="preserve"> City, </w:t>
      </w:r>
      <w:proofErr w:type="spellStart"/>
      <w:r w:rsidRPr="003E4DB0">
        <w:rPr>
          <w:szCs w:val="24"/>
        </w:rPr>
        <w:t>Mactan</w:t>
      </w:r>
      <w:proofErr w:type="spellEnd"/>
      <w:r w:rsidRPr="003E4DB0">
        <w:rPr>
          <w:szCs w:val="24"/>
        </w:rPr>
        <w:t xml:space="preserve">, </w:t>
      </w:r>
      <w:proofErr w:type="gramStart"/>
      <w:r w:rsidRPr="003E4DB0">
        <w:rPr>
          <w:szCs w:val="24"/>
        </w:rPr>
        <w:t>Cebu</w:t>
      </w:r>
      <w:proofErr w:type="gramEnd"/>
      <w:r w:rsidRPr="003E4DB0">
        <w:rPr>
          <w:szCs w:val="24"/>
        </w:rPr>
        <w:t>.</w:t>
      </w:r>
    </w:p>
    <w:p w:rsidR="003E4DB0" w:rsidRPr="003E4DB0" w:rsidRDefault="003E4DB0" w:rsidP="00F21342">
      <w:pPr>
        <w:pStyle w:val="BodyTextIndent"/>
        <w:ind w:left="426" w:firstLine="0"/>
        <w:rPr>
          <w:szCs w:val="24"/>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On June 3, 1992, House Bill </w:t>
      </w:r>
      <w:r w:rsidR="006065BE">
        <w:rPr>
          <w:szCs w:val="24"/>
        </w:rPr>
        <w:t xml:space="preserve">No. </w:t>
      </w:r>
      <w:r w:rsidRPr="003E4DB0">
        <w:rPr>
          <w:szCs w:val="24"/>
        </w:rPr>
        <w:t>26650 was signed into law as Republic Act. No. 7605 by then President Corazon C. Aquino converting</w:t>
      </w:r>
      <w:r w:rsidR="009A2098">
        <w:rPr>
          <w:szCs w:val="24"/>
        </w:rPr>
        <w:t xml:space="preserve"> the</w:t>
      </w:r>
      <w:r w:rsidRPr="003E4DB0">
        <w:rPr>
          <w:szCs w:val="24"/>
        </w:rPr>
        <w:t xml:space="preserve"> Philippine Air Force College of Aeronautics into a state college known as the Philippine State College of Aeronautics.</w:t>
      </w:r>
      <w:r w:rsidR="00F21342">
        <w:rPr>
          <w:szCs w:val="24"/>
        </w:rPr>
        <w:t xml:space="preserve"> </w:t>
      </w:r>
      <w:r w:rsidRPr="003E4DB0">
        <w:rPr>
          <w:szCs w:val="24"/>
        </w:rPr>
        <w:t xml:space="preserve">On July 8, 2010, the College was transferred from its original location at </w:t>
      </w:r>
      <w:proofErr w:type="spellStart"/>
      <w:r w:rsidRPr="003E4DB0">
        <w:rPr>
          <w:szCs w:val="24"/>
        </w:rPr>
        <w:t>Manlunas</w:t>
      </w:r>
      <w:proofErr w:type="spellEnd"/>
      <w:r w:rsidRPr="003E4DB0">
        <w:rPr>
          <w:szCs w:val="24"/>
        </w:rPr>
        <w:t xml:space="preserve"> St. </w:t>
      </w:r>
      <w:proofErr w:type="spellStart"/>
      <w:r w:rsidRPr="003E4DB0">
        <w:rPr>
          <w:szCs w:val="24"/>
        </w:rPr>
        <w:t>Villamor</w:t>
      </w:r>
      <w:proofErr w:type="spellEnd"/>
      <w:r w:rsidRPr="003E4DB0">
        <w:rPr>
          <w:szCs w:val="24"/>
        </w:rPr>
        <w:t xml:space="preserve"> Air Base, Pasay City (currently </w:t>
      </w:r>
      <w:hyperlink r:id="rId11" w:tooltip="Newport City, Philippines" w:history="1">
        <w:r w:rsidRPr="00CD0870">
          <w:rPr>
            <w:rStyle w:val="Hyperlink"/>
            <w:color w:val="auto"/>
            <w:szCs w:val="24"/>
            <w:u w:val="none"/>
          </w:rPr>
          <w:t>Newport City</w:t>
        </w:r>
      </w:hyperlink>
      <w:r w:rsidRPr="00CD0870">
        <w:rPr>
          <w:szCs w:val="24"/>
        </w:rPr>
        <w:t xml:space="preserve">) to its new site at </w:t>
      </w:r>
      <w:proofErr w:type="spellStart"/>
      <w:r w:rsidRPr="00CD0870">
        <w:rPr>
          <w:szCs w:val="24"/>
        </w:rPr>
        <w:t>Piccio</w:t>
      </w:r>
      <w:proofErr w:type="spellEnd"/>
      <w:r w:rsidRPr="00CD0870">
        <w:rPr>
          <w:szCs w:val="24"/>
        </w:rPr>
        <w:t xml:space="preserve"> Garden, </w:t>
      </w:r>
      <w:proofErr w:type="spellStart"/>
      <w:r w:rsidRPr="00CD0870">
        <w:rPr>
          <w:szCs w:val="24"/>
        </w:rPr>
        <w:t>Villamor</w:t>
      </w:r>
      <w:proofErr w:type="spellEnd"/>
      <w:r w:rsidRPr="00CD0870">
        <w:rPr>
          <w:szCs w:val="24"/>
        </w:rPr>
        <w:t xml:space="preserve">, </w:t>
      </w:r>
      <w:proofErr w:type="gramStart"/>
      <w:r w:rsidRPr="00CD0870">
        <w:rPr>
          <w:szCs w:val="24"/>
        </w:rPr>
        <w:t xml:space="preserve">Pasay City (in front of </w:t>
      </w:r>
      <w:hyperlink r:id="rId12" w:tooltip="South Luzon Expressway" w:history="1">
        <w:r w:rsidRPr="00CD0870">
          <w:rPr>
            <w:rStyle w:val="Hyperlink"/>
            <w:color w:val="auto"/>
            <w:szCs w:val="24"/>
            <w:u w:val="none"/>
          </w:rPr>
          <w:t>South</w:t>
        </w:r>
        <w:proofErr w:type="gramEnd"/>
        <w:r w:rsidRPr="00CD0870">
          <w:rPr>
            <w:rStyle w:val="Hyperlink"/>
            <w:color w:val="auto"/>
            <w:szCs w:val="24"/>
            <w:u w:val="none"/>
          </w:rPr>
          <w:t xml:space="preserve"> Luzon Expressway</w:t>
        </w:r>
      </w:hyperlink>
      <w:r w:rsidRPr="00CD0870">
        <w:rPr>
          <w:szCs w:val="24"/>
        </w:rPr>
        <w:t xml:space="preserve"> Sales Exit)</w:t>
      </w:r>
      <w:r w:rsidR="00C20317">
        <w:rPr>
          <w:szCs w:val="24"/>
        </w:rPr>
        <w:t>.</w:t>
      </w:r>
    </w:p>
    <w:p w:rsidR="003E4DB0" w:rsidRPr="003E4DB0" w:rsidRDefault="003E4DB0" w:rsidP="00F21342">
      <w:pPr>
        <w:pStyle w:val="BodyTextIndent"/>
        <w:ind w:left="426" w:firstLine="0"/>
        <w:rPr>
          <w:szCs w:val="24"/>
        </w:rPr>
      </w:pPr>
    </w:p>
    <w:p w:rsidR="002009E4"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On December 15, 2011, the </w:t>
      </w:r>
      <w:proofErr w:type="spellStart"/>
      <w:r w:rsidRPr="003E4DB0">
        <w:rPr>
          <w:szCs w:val="24"/>
        </w:rPr>
        <w:t>PhilSCA</w:t>
      </w:r>
      <w:proofErr w:type="spellEnd"/>
      <w:r w:rsidRPr="003E4DB0">
        <w:rPr>
          <w:szCs w:val="24"/>
        </w:rPr>
        <w:t xml:space="preserve">-BAB </w:t>
      </w:r>
      <w:r w:rsidR="002009E4">
        <w:rPr>
          <w:szCs w:val="24"/>
        </w:rPr>
        <w:t xml:space="preserve">started operation </w:t>
      </w:r>
      <w:r w:rsidRPr="003E4DB0">
        <w:rPr>
          <w:szCs w:val="24"/>
        </w:rPr>
        <w:t xml:space="preserve">at the </w:t>
      </w:r>
      <w:proofErr w:type="spellStart"/>
      <w:r w:rsidR="006B6F15">
        <w:rPr>
          <w:szCs w:val="24"/>
        </w:rPr>
        <w:t>Brgy</w:t>
      </w:r>
      <w:proofErr w:type="spellEnd"/>
      <w:r w:rsidR="006B6F15">
        <w:rPr>
          <w:szCs w:val="24"/>
        </w:rPr>
        <w:t xml:space="preserve">. </w:t>
      </w:r>
      <w:proofErr w:type="spellStart"/>
      <w:r w:rsidR="006B6F15">
        <w:rPr>
          <w:szCs w:val="24"/>
        </w:rPr>
        <w:t>Palmayo</w:t>
      </w:r>
      <w:proofErr w:type="spellEnd"/>
      <w:r w:rsidR="006B6F15">
        <w:rPr>
          <w:szCs w:val="24"/>
        </w:rPr>
        <w:t xml:space="preserve">, Resettlement Area in </w:t>
      </w:r>
      <w:proofErr w:type="spellStart"/>
      <w:r w:rsidR="006B6F15">
        <w:rPr>
          <w:szCs w:val="24"/>
        </w:rPr>
        <w:t>Floridablanca</w:t>
      </w:r>
      <w:proofErr w:type="spellEnd"/>
      <w:r w:rsidR="006B6F15">
        <w:rPr>
          <w:szCs w:val="24"/>
        </w:rPr>
        <w:t>, Pampanga</w:t>
      </w:r>
      <w:r w:rsidR="002009E4">
        <w:rPr>
          <w:szCs w:val="24"/>
        </w:rPr>
        <w:t xml:space="preserve"> which is now</w:t>
      </w:r>
      <w:r w:rsidR="006B6F15">
        <w:rPr>
          <w:szCs w:val="24"/>
        </w:rPr>
        <w:t xml:space="preserve"> the </w:t>
      </w:r>
      <w:proofErr w:type="spellStart"/>
      <w:r w:rsidR="006B6F15">
        <w:rPr>
          <w:szCs w:val="24"/>
        </w:rPr>
        <w:t>Palmayo</w:t>
      </w:r>
      <w:proofErr w:type="spellEnd"/>
      <w:r w:rsidR="006B6F15">
        <w:rPr>
          <w:szCs w:val="24"/>
        </w:rPr>
        <w:t xml:space="preserve"> Campus. </w:t>
      </w:r>
    </w:p>
    <w:p w:rsidR="003E4DB0" w:rsidRPr="003E4DB0" w:rsidRDefault="003E4DB0" w:rsidP="00F21342">
      <w:pPr>
        <w:pStyle w:val="BodyTextIndent"/>
        <w:ind w:left="426" w:firstLine="0"/>
        <w:rPr>
          <w:szCs w:val="24"/>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 xml:space="preserve">The College is envisioned to become a leader institution committed to scientific and technological advancement of aeronautical sciences, responsive to the dynamic and emerging demands for world-class professionals of the industry. Its mission is to produce world-class aeronautics professionals, imbued with commitment, excellence responsibility and integrity through advance level of instruction and research. </w:t>
      </w:r>
    </w:p>
    <w:p w:rsidR="00F21342" w:rsidRDefault="00F21342">
      <w:pPr>
        <w:rPr>
          <w:sz w:val="24"/>
          <w:szCs w:val="24"/>
        </w:rPr>
      </w:pPr>
      <w:r>
        <w:rPr>
          <w:szCs w:val="24"/>
        </w:rPr>
        <w:br w:type="page"/>
      </w:r>
    </w:p>
    <w:p w:rsid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lastRenderedPageBreak/>
        <w:t xml:space="preserve">The registered office address of </w:t>
      </w:r>
      <w:proofErr w:type="spellStart"/>
      <w:r w:rsidRPr="003E4DB0">
        <w:rPr>
          <w:szCs w:val="24"/>
        </w:rPr>
        <w:t>PhilSCA</w:t>
      </w:r>
      <w:proofErr w:type="spellEnd"/>
      <w:r w:rsidRPr="003E4DB0">
        <w:rPr>
          <w:szCs w:val="24"/>
        </w:rPr>
        <w:t xml:space="preserve"> Main Campus is located at </w:t>
      </w:r>
      <w:proofErr w:type="spellStart"/>
      <w:r w:rsidRPr="003E4DB0">
        <w:rPr>
          <w:szCs w:val="24"/>
        </w:rPr>
        <w:t>Piccio</w:t>
      </w:r>
      <w:proofErr w:type="spellEnd"/>
      <w:r w:rsidRPr="003E4DB0">
        <w:rPr>
          <w:szCs w:val="24"/>
        </w:rPr>
        <w:t xml:space="preserve"> Garden, </w:t>
      </w:r>
      <w:proofErr w:type="spellStart"/>
      <w:r w:rsidRPr="003E4DB0">
        <w:rPr>
          <w:szCs w:val="24"/>
        </w:rPr>
        <w:t>Villamor</w:t>
      </w:r>
      <w:proofErr w:type="spellEnd"/>
      <w:r w:rsidRPr="003E4DB0">
        <w:rPr>
          <w:szCs w:val="24"/>
        </w:rPr>
        <w:t xml:space="preserve">, </w:t>
      </w:r>
      <w:proofErr w:type="gramStart"/>
      <w:r w:rsidRPr="003E4DB0">
        <w:rPr>
          <w:szCs w:val="24"/>
        </w:rPr>
        <w:t>Pasay</w:t>
      </w:r>
      <w:proofErr w:type="gramEnd"/>
      <w:r w:rsidRPr="003E4DB0">
        <w:rPr>
          <w:szCs w:val="24"/>
        </w:rPr>
        <w:t xml:space="preserve"> City in Metro Manila.</w:t>
      </w:r>
    </w:p>
    <w:p w:rsidR="003F74E8" w:rsidRPr="00F21342" w:rsidRDefault="003F74E8" w:rsidP="00627E2D">
      <w:pPr>
        <w:pStyle w:val="BodyTextIndent"/>
        <w:tabs>
          <w:tab w:val="left" w:pos="7920"/>
          <w:tab w:val="left" w:pos="8100"/>
          <w:tab w:val="left" w:pos="8460"/>
          <w:tab w:val="left" w:pos="8550"/>
          <w:tab w:val="left" w:pos="8640"/>
          <w:tab w:val="left" w:pos="9360"/>
        </w:tabs>
        <w:ind w:firstLine="0"/>
        <w:rPr>
          <w:sz w:val="18"/>
          <w:szCs w:val="18"/>
        </w:rPr>
      </w:pPr>
    </w:p>
    <w:p w:rsidR="003E4DB0" w:rsidRPr="003E4DB0" w:rsidRDefault="003E4DB0" w:rsidP="00F21342">
      <w:pPr>
        <w:pStyle w:val="BodyTextIndent"/>
        <w:numPr>
          <w:ilvl w:val="0"/>
          <w:numId w:val="1"/>
        </w:numPr>
        <w:ind w:left="426" w:hanging="426"/>
        <w:rPr>
          <w:b/>
          <w:szCs w:val="24"/>
        </w:rPr>
      </w:pPr>
      <w:r w:rsidRPr="003E4DB0">
        <w:rPr>
          <w:b/>
          <w:szCs w:val="24"/>
        </w:rPr>
        <w:t xml:space="preserve">Statement of Compliance and Basis of Preparation of Financial Statements </w:t>
      </w:r>
    </w:p>
    <w:p w:rsidR="003E4DB0" w:rsidRPr="00F21342" w:rsidRDefault="003E4DB0" w:rsidP="0022171A">
      <w:pPr>
        <w:tabs>
          <w:tab w:val="left" w:pos="8266"/>
          <w:tab w:val="left" w:pos="8640"/>
        </w:tabs>
        <w:rPr>
          <w:sz w:val="18"/>
          <w:szCs w:val="18"/>
        </w:rPr>
      </w:pPr>
    </w:p>
    <w:p w:rsid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Pr>
          <w:szCs w:val="24"/>
        </w:rPr>
        <w:t>The financial statements have been prepared in accordance and compl</w:t>
      </w:r>
      <w:r w:rsidR="00D419C7">
        <w:rPr>
          <w:szCs w:val="24"/>
        </w:rPr>
        <w:t>iance</w:t>
      </w:r>
      <w:r>
        <w:rPr>
          <w:szCs w:val="24"/>
        </w:rPr>
        <w:t xml:space="preserve"> with the Philippine Public Sector Accounting Standards (PPSAS</w:t>
      </w:r>
      <w:r w:rsidR="00A004D1">
        <w:rPr>
          <w:szCs w:val="24"/>
        </w:rPr>
        <w:t>s</w:t>
      </w:r>
      <w:r>
        <w:rPr>
          <w:szCs w:val="24"/>
        </w:rPr>
        <w:t>) issued by the Commission on Audit per COA Resolution No. 2014-003 dated January 24, 2014.</w:t>
      </w:r>
    </w:p>
    <w:p w:rsidR="003E4DB0" w:rsidRPr="00F21342" w:rsidRDefault="003E4DB0" w:rsidP="00F21342">
      <w:pPr>
        <w:pStyle w:val="BodyTextIndent"/>
        <w:ind w:left="426" w:firstLine="0"/>
        <w:rPr>
          <w:sz w:val="18"/>
          <w:szCs w:val="18"/>
        </w:rPr>
      </w:pPr>
    </w:p>
    <w:p w:rsidR="003E4DB0" w:rsidRPr="003E4DB0" w:rsidRDefault="003E4DB0" w:rsidP="00F21342">
      <w:pPr>
        <w:pStyle w:val="BodyTextIndent"/>
        <w:tabs>
          <w:tab w:val="left" w:pos="7920"/>
          <w:tab w:val="left" w:pos="8100"/>
          <w:tab w:val="left" w:pos="8460"/>
          <w:tab w:val="left" w:pos="8550"/>
          <w:tab w:val="left" w:pos="8640"/>
          <w:tab w:val="left" w:pos="9360"/>
        </w:tabs>
        <w:ind w:left="426" w:firstLine="0"/>
        <w:rPr>
          <w:szCs w:val="24"/>
        </w:rPr>
      </w:pPr>
      <w:r w:rsidRPr="003E4DB0">
        <w:rPr>
          <w:szCs w:val="24"/>
        </w:rPr>
        <w:t>The financial statements have been prepared on the basis of historical cost, unless stated otherwise. The Statement of Cash Flows is prepared using the direct method.</w:t>
      </w:r>
    </w:p>
    <w:p w:rsidR="003E4DB0" w:rsidRPr="00F21342" w:rsidRDefault="003E4DB0" w:rsidP="00F21342">
      <w:pPr>
        <w:pStyle w:val="BodyTextIndent"/>
        <w:ind w:left="426" w:firstLine="0"/>
        <w:rPr>
          <w:sz w:val="18"/>
          <w:szCs w:val="18"/>
        </w:rPr>
      </w:pPr>
    </w:p>
    <w:p w:rsidR="00CD0870" w:rsidRDefault="00C74210" w:rsidP="00F21342">
      <w:pPr>
        <w:pStyle w:val="BodyTextIndent"/>
        <w:tabs>
          <w:tab w:val="left" w:pos="7920"/>
          <w:tab w:val="left" w:pos="8100"/>
          <w:tab w:val="left" w:pos="8460"/>
          <w:tab w:val="left" w:pos="8550"/>
          <w:tab w:val="left" w:pos="8640"/>
          <w:tab w:val="left" w:pos="9360"/>
        </w:tabs>
        <w:ind w:left="426" w:firstLine="0"/>
        <w:rPr>
          <w:szCs w:val="24"/>
        </w:rPr>
      </w:pPr>
      <w:r w:rsidRPr="00AF13AC">
        <w:rPr>
          <w:szCs w:val="24"/>
        </w:rPr>
        <w:t xml:space="preserve">The </w:t>
      </w:r>
      <w:proofErr w:type="spellStart"/>
      <w:r w:rsidRPr="00AF13AC">
        <w:rPr>
          <w:szCs w:val="24"/>
        </w:rPr>
        <w:t>PhilSCA</w:t>
      </w:r>
      <w:proofErr w:type="spellEnd"/>
      <w:r w:rsidRPr="00AF13AC">
        <w:rPr>
          <w:szCs w:val="24"/>
        </w:rPr>
        <w:t xml:space="preserve"> adopt</w:t>
      </w:r>
      <w:r w:rsidR="003E4DB0" w:rsidRPr="00AF13AC">
        <w:rPr>
          <w:szCs w:val="24"/>
        </w:rPr>
        <w:t>s</w:t>
      </w:r>
      <w:r w:rsidRPr="00AF13AC">
        <w:rPr>
          <w:szCs w:val="24"/>
        </w:rPr>
        <w:t xml:space="preserve"> a centralized accounting system whereby only one set of books of account is maintained for the main Campus located </w:t>
      </w:r>
      <w:r w:rsidR="003E4DB0" w:rsidRPr="00AF13AC">
        <w:rPr>
          <w:szCs w:val="24"/>
        </w:rPr>
        <w:t xml:space="preserve">at </w:t>
      </w:r>
      <w:proofErr w:type="spellStart"/>
      <w:r w:rsidR="003E4DB0" w:rsidRPr="00AF13AC">
        <w:rPr>
          <w:szCs w:val="24"/>
        </w:rPr>
        <w:t>Piccio</w:t>
      </w:r>
      <w:proofErr w:type="spellEnd"/>
      <w:r w:rsidR="003E4DB0" w:rsidRPr="00AF13AC">
        <w:rPr>
          <w:szCs w:val="24"/>
        </w:rPr>
        <w:t xml:space="preserve"> Garden, </w:t>
      </w:r>
      <w:proofErr w:type="spellStart"/>
      <w:r w:rsidR="003E4DB0" w:rsidRPr="00AF13AC">
        <w:rPr>
          <w:szCs w:val="24"/>
        </w:rPr>
        <w:t>Villamor</w:t>
      </w:r>
      <w:proofErr w:type="spellEnd"/>
      <w:r w:rsidR="003E4DB0" w:rsidRPr="00AF13AC">
        <w:rPr>
          <w:szCs w:val="24"/>
        </w:rPr>
        <w:t>, Pasay City</w:t>
      </w:r>
      <w:r w:rsidRPr="00AF13AC">
        <w:rPr>
          <w:szCs w:val="24"/>
        </w:rPr>
        <w:t xml:space="preserve"> and its satellites campuses in Cebu, </w:t>
      </w:r>
      <w:proofErr w:type="spellStart"/>
      <w:r w:rsidRPr="00AF13AC">
        <w:rPr>
          <w:szCs w:val="24"/>
        </w:rPr>
        <w:t>Batangas</w:t>
      </w:r>
      <w:proofErr w:type="spellEnd"/>
      <w:r w:rsidRPr="00AF13AC">
        <w:rPr>
          <w:szCs w:val="24"/>
        </w:rPr>
        <w:t xml:space="preserve"> and Pampanga.</w:t>
      </w:r>
    </w:p>
    <w:p w:rsidR="00DC3099" w:rsidRPr="00F21342" w:rsidRDefault="00DC3099" w:rsidP="0022171A">
      <w:pPr>
        <w:pStyle w:val="BodyTextIndent"/>
        <w:tabs>
          <w:tab w:val="left" w:pos="8550"/>
        </w:tabs>
        <w:ind w:left="0" w:firstLine="0"/>
        <w:rPr>
          <w:sz w:val="18"/>
          <w:szCs w:val="18"/>
        </w:rPr>
      </w:pPr>
    </w:p>
    <w:p w:rsidR="00627E2D" w:rsidRPr="00627E2D" w:rsidRDefault="00CD0870" w:rsidP="00F21342">
      <w:pPr>
        <w:pStyle w:val="BodyTextIndent"/>
        <w:numPr>
          <w:ilvl w:val="0"/>
          <w:numId w:val="1"/>
        </w:numPr>
        <w:ind w:left="426" w:hanging="426"/>
        <w:rPr>
          <w:b/>
        </w:rPr>
      </w:pPr>
      <w:r>
        <w:rPr>
          <w:b/>
        </w:rPr>
        <w:t xml:space="preserve">Summary of </w:t>
      </w:r>
      <w:r w:rsidRPr="002B7BA6">
        <w:rPr>
          <w:b/>
        </w:rPr>
        <w:t>Significant Accounting Policies</w:t>
      </w:r>
    </w:p>
    <w:p w:rsidR="00CD0870" w:rsidRPr="00F21342" w:rsidRDefault="00CD0870" w:rsidP="0022171A">
      <w:pPr>
        <w:pStyle w:val="BodyTextIndent"/>
        <w:ind w:left="0" w:firstLine="0"/>
        <w:rPr>
          <w:sz w:val="18"/>
          <w:szCs w:val="18"/>
        </w:rPr>
      </w:pPr>
    </w:p>
    <w:p w:rsidR="00CD0870" w:rsidRPr="00F53DE8" w:rsidRDefault="00CD0870" w:rsidP="00F21342">
      <w:pPr>
        <w:pStyle w:val="BodyTextIndent"/>
        <w:numPr>
          <w:ilvl w:val="1"/>
          <w:numId w:val="18"/>
        </w:numPr>
        <w:ind w:left="993" w:hanging="567"/>
        <w:rPr>
          <w:b/>
          <w:szCs w:val="24"/>
        </w:rPr>
      </w:pPr>
      <w:r w:rsidRPr="00F53DE8">
        <w:rPr>
          <w:b/>
          <w:szCs w:val="24"/>
        </w:rPr>
        <w:t>Basis of Accounting</w:t>
      </w:r>
    </w:p>
    <w:p w:rsidR="00CD0870" w:rsidRPr="00F21342" w:rsidRDefault="00CD0870" w:rsidP="00A004D1">
      <w:pPr>
        <w:tabs>
          <w:tab w:val="left" w:pos="720"/>
          <w:tab w:val="left" w:pos="8640"/>
        </w:tabs>
        <w:ind w:left="270"/>
        <w:jc w:val="both"/>
        <w:rPr>
          <w:sz w:val="18"/>
          <w:szCs w:val="18"/>
        </w:rPr>
      </w:pPr>
    </w:p>
    <w:p w:rsidR="0064319A" w:rsidRDefault="00CD0870" w:rsidP="00F21342">
      <w:pPr>
        <w:tabs>
          <w:tab w:val="left" w:pos="8460"/>
        </w:tabs>
        <w:ind w:left="993"/>
        <w:jc w:val="both"/>
        <w:rPr>
          <w:sz w:val="24"/>
          <w:szCs w:val="24"/>
        </w:rPr>
      </w:pPr>
      <w:r w:rsidRPr="00F53DE8">
        <w:rPr>
          <w:sz w:val="24"/>
          <w:szCs w:val="24"/>
        </w:rPr>
        <w:t xml:space="preserve">The financial statements are prepared on an accrual basis in accordance with the </w:t>
      </w:r>
      <w:r w:rsidR="00A004D1">
        <w:rPr>
          <w:sz w:val="24"/>
          <w:szCs w:val="24"/>
        </w:rPr>
        <w:t>PPSAS</w:t>
      </w:r>
      <w:r w:rsidRPr="00F53DE8">
        <w:rPr>
          <w:sz w:val="24"/>
          <w:szCs w:val="24"/>
        </w:rPr>
        <w:t xml:space="preserve">.  </w:t>
      </w:r>
    </w:p>
    <w:p w:rsidR="00EE4B49" w:rsidRPr="00F21342" w:rsidRDefault="00C76322" w:rsidP="00A004D1">
      <w:pPr>
        <w:tabs>
          <w:tab w:val="left" w:pos="270"/>
          <w:tab w:val="left" w:pos="360"/>
          <w:tab w:val="left" w:pos="540"/>
          <w:tab w:val="left" w:pos="900"/>
          <w:tab w:val="left" w:pos="8280"/>
          <w:tab w:val="left" w:pos="8370"/>
          <w:tab w:val="left" w:pos="8640"/>
        </w:tabs>
        <w:ind w:left="270"/>
        <w:jc w:val="both"/>
        <w:rPr>
          <w:b/>
          <w:sz w:val="18"/>
          <w:szCs w:val="18"/>
        </w:rPr>
      </w:pPr>
      <w:r>
        <w:rPr>
          <w:b/>
          <w:sz w:val="24"/>
          <w:szCs w:val="24"/>
        </w:rPr>
        <w:tab/>
      </w:r>
    </w:p>
    <w:p w:rsidR="0064319A" w:rsidRPr="00D6455A" w:rsidRDefault="0064319A" w:rsidP="00F21342">
      <w:pPr>
        <w:pStyle w:val="BodyTextIndent"/>
        <w:numPr>
          <w:ilvl w:val="1"/>
          <w:numId w:val="18"/>
        </w:numPr>
        <w:ind w:left="993" w:hanging="567"/>
        <w:rPr>
          <w:b/>
          <w:szCs w:val="24"/>
        </w:rPr>
      </w:pPr>
      <w:r w:rsidRPr="00F53DE8">
        <w:rPr>
          <w:b/>
          <w:szCs w:val="24"/>
        </w:rPr>
        <w:t>Financial Instruments</w:t>
      </w:r>
    </w:p>
    <w:p w:rsidR="00D837B2" w:rsidRPr="00F21342" w:rsidRDefault="0064319A" w:rsidP="00A004D1">
      <w:pPr>
        <w:tabs>
          <w:tab w:val="left" w:pos="720"/>
          <w:tab w:val="left" w:pos="810"/>
          <w:tab w:val="left" w:pos="1080"/>
        </w:tabs>
        <w:ind w:left="270"/>
        <w:jc w:val="both"/>
        <w:rPr>
          <w:sz w:val="18"/>
          <w:szCs w:val="18"/>
        </w:rPr>
      </w:pPr>
      <w:r w:rsidRPr="00F53DE8">
        <w:rPr>
          <w:sz w:val="24"/>
          <w:szCs w:val="24"/>
        </w:rPr>
        <w:tab/>
      </w:r>
    </w:p>
    <w:p w:rsidR="00D6455A" w:rsidRPr="0002391A" w:rsidRDefault="0064319A" w:rsidP="00F21342">
      <w:pPr>
        <w:pStyle w:val="ListParagraph"/>
        <w:numPr>
          <w:ilvl w:val="0"/>
          <w:numId w:val="19"/>
        </w:numPr>
        <w:tabs>
          <w:tab w:val="left" w:pos="993"/>
        </w:tabs>
        <w:ind w:left="1260" w:hanging="267"/>
        <w:jc w:val="both"/>
        <w:rPr>
          <w:b/>
          <w:sz w:val="24"/>
          <w:szCs w:val="24"/>
        </w:rPr>
      </w:pPr>
      <w:r w:rsidRPr="0002391A">
        <w:rPr>
          <w:b/>
          <w:sz w:val="24"/>
          <w:szCs w:val="24"/>
        </w:rPr>
        <w:t>Financial assets</w:t>
      </w:r>
    </w:p>
    <w:p w:rsidR="00D837B2" w:rsidRPr="00F21342" w:rsidRDefault="00D837B2" w:rsidP="00423DDC">
      <w:pPr>
        <w:tabs>
          <w:tab w:val="left" w:pos="720"/>
          <w:tab w:val="left" w:pos="810"/>
          <w:tab w:val="left" w:pos="1080"/>
        </w:tabs>
        <w:ind w:left="630"/>
        <w:jc w:val="both"/>
        <w:rPr>
          <w:b/>
          <w:i/>
          <w:sz w:val="18"/>
          <w:szCs w:val="18"/>
        </w:rPr>
      </w:pPr>
      <w:r>
        <w:rPr>
          <w:b/>
          <w:i/>
          <w:sz w:val="24"/>
          <w:szCs w:val="24"/>
        </w:rPr>
        <w:tab/>
      </w:r>
    </w:p>
    <w:p w:rsidR="0064319A" w:rsidRPr="00D6455A" w:rsidRDefault="0064319A" w:rsidP="00F21342">
      <w:pPr>
        <w:ind w:left="1276"/>
        <w:jc w:val="both"/>
        <w:rPr>
          <w:b/>
          <w:sz w:val="24"/>
          <w:szCs w:val="24"/>
        </w:rPr>
      </w:pPr>
      <w:r w:rsidRPr="002D60C4">
        <w:rPr>
          <w:b/>
          <w:i/>
          <w:sz w:val="24"/>
          <w:szCs w:val="24"/>
        </w:rPr>
        <w:t>Initial recognition and measurement</w:t>
      </w:r>
    </w:p>
    <w:p w:rsidR="0064319A" w:rsidRPr="00F21342" w:rsidRDefault="0064319A" w:rsidP="00F21342">
      <w:pPr>
        <w:ind w:left="1276"/>
        <w:jc w:val="both"/>
        <w:rPr>
          <w:sz w:val="18"/>
          <w:szCs w:val="18"/>
        </w:rPr>
      </w:pPr>
    </w:p>
    <w:p w:rsidR="0064319A" w:rsidRDefault="0064319A" w:rsidP="00F21342">
      <w:pPr>
        <w:tabs>
          <w:tab w:val="left" w:pos="8460"/>
          <w:tab w:val="left" w:pos="8640"/>
        </w:tabs>
        <w:ind w:left="1276"/>
        <w:jc w:val="both"/>
        <w:rPr>
          <w:sz w:val="24"/>
          <w:szCs w:val="24"/>
        </w:rPr>
      </w:pPr>
      <w:r w:rsidRPr="00F53DE8">
        <w:rPr>
          <w:sz w:val="24"/>
          <w:szCs w:val="24"/>
        </w:rPr>
        <w:t>Financial asse</w:t>
      </w:r>
      <w:r>
        <w:rPr>
          <w:sz w:val="24"/>
          <w:szCs w:val="24"/>
        </w:rPr>
        <w:t xml:space="preserve">ts within the scope of PPSAS 29 - </w:t>
      </w:r>
      <w:r w:rsidRPr="00F53DE8">
        <w:rPr>
          <w:sz w:val="24"/>
          <w:szCs w:val="24"/>
        </w:rPr>
        <w:t>Financial Instruments: Recognition and Measurement are classified as financial assets at fair value through surplus or deficit, loans and receivables, held-to-maturity investments or available-for-sale financ</w:t>
      </w:r>
      <w:r w:rsidR="005506B7">
        <w:rPr>
          <w:sz w:val="24"/>
          <w:szCs w:val="24"/>
        </w:rPr>
        <w:t xml:space="preserve">ial assets, as appropriate. </w:t>
      </w:r>
      <w:proofErr w:type="spellStart"/>
      <w:r w:rsidRPr="00F53DE8">
        <w:rPr>
          <w:sz w:val="24"/>
          <w:szCs w:val="24"/>
        </w:rPr>
        <w:t>P</w:t>
      </w:r>
      <w:r>
        <w:rPr>
          <w:sz w:val="24"/>
          <w:szCs w:val="24"/>
        </w:rPr>
        <w:t>hilSCA</w:t>
      </w:r>
      <w:proofErr w:type="spellEnd"/>
      <w:r w:rsidRPr="00F53DE8">
        <w:rPr>
          <w:sz w:val="24"/>
          <w:szCs w:val="24"/>
        </w:rPr>
        <w:t xml:space="preserve"> determines the classification of its financial assets at initial recognition.</w:t>
      </w:r>
    </w:p>
    <w:p w:rsidR="0064319A" w:rsidRPr="00F21342" w:rsidRDefault="0064319A" w:rsidP="00F21342">
      <w:pPr>
        <w:tabs>
          <w:tab w:val="left" w:pos="8460"/>
        </w:tabs>
        <w:ind w:left="1276"/>
        <w:jc w:val="both"/>
        <w:rPr>
          <w:sz w:val="18"/>
          <w:szCs w:val="18"/>
        </w:rPr>
      </w:pPr>
    </w:p>
    <w:p w:rsidR="0064319A" w:rsidRPr="00F53DE8" w:rsidRDefault="0064319A" w:rsidP="00F21342">
      <w:pPr>
        <w:tabs>
          <w:tab w:val="left" w:pos="8370"/>
        </w:tabs>
        <w:ind w:left="1276"/>
        <w:jc w:val="both"/>
        <w:rPr>
          <w:sz w:val="24"/>
          <w:szCs w:val="24"/>
        </w:rPr>
      </w:pPr>
      <w:r>
        <w:rPr>
          <w:sz w:val="24"/>
          <w:szCs w:val="24"/>
        </w:rPr>
        <w:t xml:space="preserve">Purchases or sales of financial assets that require delivery of assets within the time frame established by regulation or convention in the marketplace (regular way trades) are recognized on the trade date, </w:t>
      </w:r>
      <w:r w:rsidR="00B03D20">
        <w:rPr>
          <w:sz w:val="24"/>
          <w:szCs w:val="24"/>
        </w:rPr>
        <w:t>i.e., the date that</w:t>
      </w:r>
      <w:r w:rsidR="00AF13AC">
        <w:rPr>
          <w:sz w:val="24"/>
          <w:szCs w:val="24"/>
        </w:rPr>
        <w:t xml:space="preserve"> </w:t>
      </w:r>
      <w:proofErr w:type="spellStart"/>
      <w:r>
        <w:rPr>
          <w:sz w:val="24"/>
          <w:szCs w:val="24"/>
        </w:rPr>
        <w:t>PhilSCA</w:t>
      </w:r>
      <w:proofErr w:type="spellEnd"/>
      <w:r>
        <w:rPr>
          <w:sz w:val="24"/>
          <w:szCs w:val="24"/>
        </w:rPr>
        <w:t xml:space="preserve"> commits to purchase or sell the asset. </w:t>
      </w:r>
    </w:p>
    <w:p w:rsidR="0064319A" w:rsidRPr="00F21342" w:rsidRDefault="0064319A" w:rsidP="00F21342">
      <w:pPr>
        <w:tabs>
          <w:tab w:val="left" w:pos="8640"/>
        </w:tabs>
        <w:ind w:left="1276"/>
        <w:jc w:val="both"/>
        <w:rPr>
          <w:sz w:val="18"/>
          <w:szCs w:val="18"/>
        </w:rPr>
      </w:pPr>
    </w:p>
    <w:p w:rsidR="0064319A" w:rsidRDefault="0064319A" w:rsidP="00F21342">
      <w:pPr>
        <w:ind w:left="1276"/>
        <w:jc w:val="both"/>
        <w:rPr>
          <w:sz w:val="24"/>
          <w:szCs w:val="24"/>
        </w:rPr>
      </w:pPr>
      <w:proofErr w:type="spellStart"/>
      <w:r w:rsidRPr="00F53DE8">
        <w:rPr>
          <w:sz w:val="24"/>
          <w:szCs w:val="24"/>
        </w:rPr>
        <w:t>P</w:t>
      </w:r>
      <w:r>
        <w:rPr>
          <w:sz w:val="24"/>
          <w:szCs w:val="24"/>
        </w:rPr>
        <w:t>hilSCA</w:t>
      </w:r>
      <w:r w:rsidRPr="00F53DE8">
        <w:rPr>
          <w:sz w:val="24"/>
          <w:szCs w:val="24"/>
        </w:rPr>
        <w:t>’s</w:t>
      </w:r>
      <w:proofErr w:type="spellEnd"/>
      <w:r w:rsidR="00C74210">
        <w:rPr>
          <w:sz w:val="24"/>
          <w:szCs w:val="24"/>
        </w:rPr>
        <w:t xml:space="preserve"> </w:t>
      </w:r>
      <w:r w:rsidRPr="00F53DE8">
        <w:rPr>
          <w:sz w:val="24"/>
          <w:szCs w:val="24"/>
        </w:rPr>
        <w:t xml:space="preserve">financial assets include: cash </w:t>
      </w:r>
      <w:r w:rsidR="007B1172">
        <w:rPr>
          <w:sz w:val="24"/>
          <w:szCs w:val="24"/>
        </w:rPr>
        <w:t>and short-term deposits; trade and other receivabl</w:t>
      </w:r>
      <w:r w:rsidR="006B026A">
        <w:rPr>
          <w:sz w:val="24"/>
          <w:szCs w:val="24"/>
        </w:rPr>
        <w:t>es; loans and other receivables; and derivative financial instruments.</w:t>
      </w:r>
    </w:p>
    <w:p w:rsidR="002D60C4" w:rsidRPr="00F21342" w:rsidRDefault="002D60C4" w:rsidP="00F21342">
      <w:pPr>
        <w:tabs>
          <w:tab w:val="left" w:pos="8640"/>
        </w:tabs>
        <w:ind w:left="1276"/>
        <w:jc w:val="both"/>
        <w:rPr>
          <w:sz w:val="18"/>
          <w:szCs w:val="18"/>
        </w:rPr>
      </w:pPr>
    </w:p>
    <w:p w:rsidR="002D60C4" w:rsidRDefault="002D60C4" w:rsidP="00F21342">
      <w:pPr>
        <w:ind w:left="1276"/>
        <w:jc w:val="both"/>
        <w:rPr>
          <w:b/>
          <w:i/>
          <w:sz w:val="24"/>
          <w:szCs w:val="24"/>
        </w:rPr>
      </w:pPr>
      <w:r w:rsidRPr="002D60C4">
        <w:rPr>
          <w:b/>
          <w:i/>
          <w:sz w:val="24"/>
          <w:szCs w:val="24"/>
        </w:rPr>
        <w:t>Subsequent measurement</w:t>
      </w:r>
    </w:p>
    <w:p w:rsidR="002D60C4" w:rsidRPr="00F21342" w:rsidRDefault="002D60C4" w:rsidP="00F21342">
      <w:pPr>
        <w:tabs>
          <w:tab w:val="left" w:pos="8640"/>
        </w:tabs>
        <w:ind w:left="1276"/>
        <w:jc w:val="both"/>
        <w:rPr>
          <w:sz w:val="18"/>
          <w:szCs w:val="18"/>
        </w:rPr>
      </w:pPr>
    </w:p>
    <w:p w:rsidR="002D60C4" w:rsidRDefault="002D60C4" w:rsidP="00F21342">
      <w:pPr>
        <w:ind w:left="1276"/>
        <w:jc w:val="both"/>
        <w:rPr>
          <w:sz w:val="24"/>
          <w:szCs w:val="24"/>
        </w:rPr>
      </w:pPr>
      <w:r>
        <w:rPr>
          <w:sz w:val="24"/>
          <w:szCs w:val="24"/>
        </w:rPr>
        <w:t>The subsequent measurement of financial assets depends on their classification.</w:t>
      </w:r>
    </w:p>
    <w:p w:rsidR="00C262E2" w:rsidRDefault="00C262E2">
      <w:pPr>
        <w:rPr>
          <w:sz w:val="24"/>
          <w:szCs w:val="24"/>
        </w:rPr>
      </w:pPr>
      <w:r>
        <w:rPr>
          <w:sz w:val="24"/>
          <w:szCs w:val="24"/>
        </w:rPr>
        <w:br w:type="page"/>
      </w:r>
    </w:p>
    <w:p w:rsidR="002D60C4" w:rsidRDefault="002D60C4" w:rsidP="00C262E2">
      <w:pPr>
        <w:ind w:left="1276"/>
        <w:jc w:val="both"/>
        <w:rPr>
          <w:b/>
          <w:i/>
          <w:sz w:val="24"/>
          <w:szCs w:val="24"/>
        </w:rPr>
      </w:pPr>
      <w:r w:rsidRPr="002D60C4">
        <w:rPr>
          <w:b/>
          <w:i/>
          <w:sz w:val="24"/>
          <w:szCs w:val="24"/>
        </w:rPr>
        <w:lastRenderedPageBreak/>
        <w:t>Financial assets at fair value through surplus or deficit</w:t>
      </w:r>
    </w:p>
    <w:p w:rsidR="002D60C4" w:rsidRDefault="002D60C4" w:rsidP="00C262E2">
      <w:pPr>
        <w:tabs>
          <w:tab w:val="left" w:pos="8460"/>
        </w:tabs>
        <w:ind w:left="1276"/>
        <w:jc w:val="both"/>
        <w:rPr>
          <w:b/>
          <w:i/>
          <w:sz w:val="24"/>
          <w:szCs w:val="24"/>
        </w:rPr>
      </w:pPr>
    </w:p>
    <w:p w:rsidR="00C279B3" w:rsidRPr="00A3535D" w:rsidRDefault="002D60C4" w:rsidP="00C262E2">
      <w:pPr>
        <w:ind w:left="1276"/>
        <w:jc w:val="both"/>
        <w:rPr>
          <w:sz w:val="24"/>
          <w:szCs w:val="24"/>
        </w:rPr>
      </w:pPr>
      <w:r>
        <w:rPr>
          <w:sz w:val="24"/>
          <w:szCs w:val="24"/>
        </w:rPr>
        <w:t xml:space="preserve">Financial assets at fair value through surplus or deficit include financial assets held for trading and financial assets designated upon initial recognition at fair value through surplus and deficit. Financial assets are classified as held for trading if they are acquired for the purpose of selling or repurchasing in the near term. </w:t>
      </w:r>
    </w:p>
    <w:p w:rsidR="00C279B3" w:rsidRDefault="00C279B3" w:rsidP="00C262E2">
      <w:pPr>
        <w:tabs>
          <w:tab w:val="left" w:pos="8640"/>
        </w:tabs>
        <w:ind w:left="1276"/>
        <w:jc w:val="both"/>
        <w:rPr>
          <w:b/>
          <w:i/>
          <w:sz w:val="24"/>
          <w:szCs w:val="24"/>
        </w:rPr>
      </w:pPr>
    </w:p>
    <w:p w:rsidR="00A4530A" w:rsidRDefault="00A4530A" w:rsidP="00C262E2">
      <w:pPr>
        <w:ind w:left="1276"/>
        <w:jc w:val="both"/>
        <w:rPr>
          <w:b/>
          <w:i/>
          <w:sz w:val="24"/>
          <w:szCs w:val="24"/>
        </w:rPr>
      </w:pPr>
      <w:r w:rsidRPr="00A4530A">
        <w:rPr>
          <w:b/>
          <w:i/>
          <w:sz w:val="24"/>
          <w:szCs w:val="24"/>
        </w:rPr>
        <w:t>Loans and receivables</w:t>
      </w:r>
    </w:p>
    <w:p w:rsidR="00C279B3" w:rsidRDefault="00C279B3" w:rsidP="00C262E2">
      <w:pPr>
        <w:tabs>
          <w:tab w:val="left" w:pos="8640"/>
          <w:tab w:val="left" w:pos="8730"/>
          <w:tab w:val="left" w:pos="8820"/>
        </w:tabs>
        <w:ind w:left="1276"/>
        <w:jc w:val="both"/>
        <w:rPr>
          <w:b/>
          <w:i/>
          <w:sz w:val="24"/>
          <w:szCs w:val="24"/>
        </w:rPr>
      </w:pPr>
    </w:p>
    <w:p w:rsidR="00A4530A" w:rsidRPr="00A4530A" w:rsidRDefault="00A4530A" w:rsidP="00C262E2">
      <w:pPr>
        <w:tabs>
          <w:tab w:val="left" w:pos="8370"/>
          <w:tab w:val="left" w:pos="8460"/>
          <w:tab w:val="left" w:pos="8730"/>
        </w:tabs>
        <w:ind w:left="1276"/>
        <w:jc w:val="both"/>
        <w:rPr>
          <w:sz w:val="24"/>
          <w:szCs w:val="24"/>
        </w:rPr>
      </w:pPr>
      <w:r>
        <w:rPr>
          <w:sz w:val="24"/>
          <w:szCs w:val="24"/>
        </w:rPr>
        <w:t>Loans and receivables are non-derivative financial assets with fixed or determinable payments that are not quoted in an active market. After initial measurement, such financial assets are subsequently measured at amortized cost using the effective interest method, less impairment. Amortized cost is calculated by taking into account any discount or premium on acquisition and fees or costs that are an integral part of the effective interest rate. Losses arising from impairment are recognized in the surplus or deficit.</w:t>
      </w:r>
    </w:p>
    <w:p w:rsidR="007756FF" w:rsidRPr="007756FF" w:rsidRDefault="007756FF" w:rsidP="00C262E2">
      <w:pPr>
        <w:tabs>
          <w:tab w:val="left" w:pos="900"/>
        </w:tabs>
        <w:ind w:left="1276"/>
        <w:jc w:val="both"/>
        <w:rPr>
          <w:i/>
          <w:sz w:val="24"/>
          <w:szCs w:val="24"/>
        </w:rPr>
      </w:pPr>
    </w:p>
    <w:p w:rsidR="007D4C02" w:rsidRDefault="00D40228" w:rsidP="00C262E2">
      <w:pPr>
        <w:ind w:left="1276"/>
        <w:jc w:val="both"/>
        <w:rPr>
          <w:sz w:val="24"/>
          <w:szCs w:val="24"/>
        </w:rPr>
      </w:pPr>
      <w:proofErr w:type="spellStart"/>
      <w:r>
        <w:rPr>
          <w:b/>
          <w:i/>
          <w:sz w:val="24"/>
          <w:szCs w:val="24"/>
        </w:rPr>
        <w:t>Derecognition</w:t>
      </w:r>
      <w:proofErr w:type="spellEnd"/>
    </w:p>
    <w:p w:rsidR="00D40228" w:rsidRDefault="00D40228" w:rsidP="00C262E2">
      <w:pPr>
        <w:tabs>
          <w:tab w:val="left" w:pos="900"/>
          <w:tab w:val="left" w:pos="8460"/>
        </w:tabs>
        <w:ind w:left="1276"/>
        <w:jc w:val="both"/>
        <w:rPr>
          <w:sz w:val="24"/>
          <w:szCs w:val="24"/>
        </w:rPr>
      </w:pPr>
    </w:p>
    <w:p w:rsidR="00D40228" w:rsidRDefault="00BE6227" w:rsidP="00C262E2">
      <w:pPr>
        <w:tabs>
          <w:tab w:val="left" w:pos="900"/>
          <w:tab w:val="left" w:pos="8370"/>
          <w:tab w:val="left" w:pos="8640"/>
        </w:tabs>
        <w:ind w:left="1276"/>
        <w:jc w:val="both"/>
        <w:rPr>
          <w:sz w:val="24"/>
          <w:szCs w:val="24"/>
        </w:rPr>
      </w:pPr>
      <w:r>
        <w:rPr>
          <w:sz w:val="24"/>
          <w:szCs w:val="24"/>
        </w:rPr>
        <w:t xml:space="preserve">The </w:t>
      </w:r>
      <w:proofErr w:type="spellStart"/>
      <w:r w:rsidR="00D40228">
        <w:rPr>
          <w:sz w:val="24"/>
          <w:szCs w:val="24"/>
        </w:rPr>
        <w:t>PhilSCA</w:t>
      </w:r>
      <w:proofErr w:type="spellEnd"/>
      <w:r w:rsidR="00D40228">
        <w:rPr>
          <w:sz w:val="24"/>
          <w:szCs w:val="24"/>
        </w:rPr>
        <w:t xml:space="preserve"> derecognizes a financial asset or, where applicable, a part of a financial asset or part of a </w:t>
      </w:r>
      <w:proofErr w:type="spellStart"/>
      <w:r w:rsidR="00D40228">
        <w:rPr>
          <w:sz w:val="24"/>
          <w:szCs w:val="24"/>
        </w:rPr>
        <w:t>PhilSCA</w:t>
      </w:r>
      <w:proofErr w:type="spellEnd"/>
      <w:r w:rsidR="00D40228">
        <w:rPr>
          <w:sz w:val="24"/>
          <w:szCs w:val="24"/>
        </w:rPr>
        <w:t xml:space="preserve"> of similar financial assets when:</w:t>
      </w:r>
    </w:p>
    <w:p w:rsidR="00D40228" w:rsidRDefault="00D40228" w:rsidP="00C262E2">
      <w:pPr>
        <w:tabs>
          <w:tab w:val="left" w:pos="900"/>
        </w:tabs>
        <w:ind w:left="1276"/>
        <w:jc w:val="both"/>
        <w:rPr>
          <w:sz w:val="24"/>
          <w:szCs w:val="24"/>
        </w:rPr>
      </w:pPr>
    </w:p>
    <w:p w:rsidR="00D40228" w:rsidRDefault="007E50B2" w:rsidP="00C262E2">
      <w:pPr>
        <w:pStyle w:val="ListParagraph"/>
        <w:numPr>
          <w:ilvl w:val="0"/>
          <w:numId w:val="5"/>
        </w:numPr>
        <w:ind w:left="1560" w:hanging="284"/>
        <w:jc w:val="both"/>
        <w:rPr>
          <w:sz w:val="24"/>
          <w:szCs w:val="24"/>
        </w:rPr>
      </w:pPr>
      <w:r>
        <w:rPr>
          <w:sz w:val="24"/>
          <w:szCs w:val="24"/>
        </w:rPr>
        <w:t>The rights to receive cash flows from the asset have expired or is</w:t>
      </w:r>
      <w:r w:rsidR="00AF13AC">
        <w:rPr>
          <w:sz w:val="24"/>
          <w:szCs w:val="24"/>
        </w:rPr>
        <w:t xml:space="preserve"> </w:t>
      </w:r>
      <w:r w:rsidR="00C262E2">
        <w:rPr>
          <w:sz w:val="24"/>
          <w:szCs w:val="24"/>
        </w:rPr>
        <w:t>waived;</w:t>
      </w:r>
    </w:p>
    <w:p w:rsidR="007E50B2" w:rsidRDefault="007E50B2" w:rsidP="00C262E2">
      <w:pPr>
        <w:pStyle w:val="ListParagraph"/>
        <w:ind w:left="1560" w:hanging="284"/>
        <w:jc w:val="both"/>
        <w:rPr>
          <w:sz w:val="24"/>
          <w:szCs w:val="24"/>
        </w:rPr>
      </w:pPr>
    </w:p>
    <w:p w:rsidR="007E50B2" w:rsidRPr="006B5A2C" w:rsidRDefault="007E50B2" w:rsidP="00C262E2">
      <w:pPr>
        <w:pStyle w:val="ListParagraph"/>
        <w:numPr>
          <w:ilvl w:val="0"/>
          <w:numId w:val="5"/>
        </w:numPr>
        <w:tabs>
          <w:tab w:val="left" w:pos="8190"/>
          <w:tab w:val="left" w:pos="8370"/>
          <w:tab w:val="left" w:pos="8640"/>
        </w:tabs>
        <w:ind w:left="1560" w:hanging="284"/>
        <w:jc w:val="both"/>
        <w:rPr>
          <w:sz w:val="24"/>
          <w:szCs w:val="24"/>
        </w:rPr>
      </w:pPr>
      <w:proofErr w:type="spellStart"/>
      <w:r w:rsidRPr="007E50B2">
        <w:rPr>
          <w:sz w:val="24"/>
          <w:szCs w:val="24"/>
        </w:rPr>
        <w:t>PhilSCA</w:t>
      </w:r>
      <w:proofErr w:type="spellEnd"/>
      <w:r w:rsidRPr="007E50B2">
        <w:rPr>
          <w:sz w:val="24"/>
          <w:szCs w:val="24"/>
        </w:rPr>
        <w:t xml:space="preserve"> has transferred its rights to re</w:t>
      </w:r>
      <w:r>
        <w:rPr>
          <w:sz w:val="24"/>
          <w:szCs w:val="24"/>
        </w:rPr>
        <w:t>ceive cash flows from the asset has assumed an obligation to pay the received cash flows in full without material delay to a t</w:t>
      </w:r>
      <w:r w:rsidR="00362433">
        <w:rPr>
          <w:sz w:val="24"/>
          <w:szCs w:val="24"/>
        </w:rPr>
        <w:t>hird party; and either: (a) it</w:t>
      </w:r>
      <w:r>
        <w:rPr>
          <w:sz w:val="24"/>
          <w:szCs w:val="24"/>
        </w:rPr>
        <w:t xml:space="preserve"> has transferred substantially all the risks and rewards </w:t>
      </w:r>
      <w:r w:rsidR="00362433">
        <w:rPr>
          <w:sz w:val="24"/>
          <w:szCs w:val="24"/>
        </w:rPr>
        <w:t>of the asset; or (b) it</w:t>
      </w:r>
      <w:r>
        <w:rPr>
          <w:sz w:val="24"/>
          <w:szCs w:val="24"/>
        </w:rPr>
        <w:t xml:space="preserve"> has neither transferred nor retained substantially all the risks and rewards of the asset, but has transferred control of the asset.</w:t>
      </w:r>
    </w:p>
    <w:p w:rsidR="007419ED" w:rsidRDefault="007E50B2" w:rsidP="00C262E2">
      <w:pPr>
        <w:tabs>
          <w:tab w:val="left" w:pos="900"/>
          <w:tab w:val="left" w:pos="1350"/>
          <w:tab w:val="left" w:pos="2160"/>
        </w:tabs>
        <w:ind w:left="1276"/>
        <w:jc w:val="both"/>
        <w:rPr>
          <w:sz w:val="24"/>
          <w:szCs w:val="24"/>
        </w:rPr>
      </w:pPr>
      <w:r>
        <w:rPr>
          <w:i/>
          <w:sz w:val="24"/>
          <w:szCs w:val="24"/>
        </w:rPr>
        <w:tab/>
      </w:r>
    </w:p>
    <w:p w:rsidR="007419ED" w:rsidRDefault="007419ED" w:rsidP="00C262E2">
      <w:pPr>
        <w:tabs>
          <w:tab w:val="left" w:pos="900"/>
          <w:tab w:val="left" w:pos="990"/>
          <w:tab w:val="left" w:pos="1170"/>
          <w:tab w:val="left" w:pos="1350"/>
          <w:tab w:val="left" w:pos="1440"/>
          <w:tab w:val="left" w:pos="1980"/>
        </w:tabs>
        <w:ind w:left="1276"/>
        <w:jc w:val="both"/>
        <w:rPr>
          <w:b/>
          <w:i/>
          <w:sz w:val="24"/>
          <w:szCs w:val="24"/>
        </w:rPr>
      </w:pPr>
      <w:r>
        <w:rPr>
          <w:b/>
          <w:i/>
          <w:sz w:val="24"/>
          <w:szCs w:val="24"/>
        </w:rPr>
        <w:t>Financial assets carried at amortized cost</w:t>
      </w:r>
    </w:p>
    <w:p w:rsidR="007419ED" w:rsidRDefault="007419ED" w:rsidP="00C262E2">
      <w:pPr>
        <w:tabs>
          <w:tab w:val="left" w:pos="900"/>
          <w:tab w:val="left" w:pos="990"/>
          <w:tab w:val="left" w:pos="1170"/>
          <w:tab w:val="left" w:pos="1350"/>
          <w:tab w:val="left" w:pos="1440"/>
          <w:tab w:val="left" w:pos="1980"/>
          <w:tab w:val="left" w:pos="8460"/>
        </w:tabs>
        <w:ind w:left="1276"/>
        <w:jc w:val="both"/>
        <w:rPr>
          <w:b/>
          <w:i/>
          <w:sz w:val="24"/>
          <w:szCs w:val="24"/>
        </w:rPr>
      </w:pPr>
      <w:r>
        <w:rPr>
          <w:b/>
          <w:i/>
          <w:sz w:val="24"/>
          <w:szCs w:val="24"/>
        </w:rPr>
        <w:tab/>
      </w:r>
    </w:p>
    <w:p w:rsidR="007419ED" w:rsidRDefault="00FD60E6" w:rsidP="00C262E2">
      <w:pPr>
        <w:tabs>
          <w:tab w:val="left" w:pos="900"/>
          <w:tab w:val="left" w:pos="990"/>
          <w:tab w:val="left" w:pos="1170"/>
          <w:tab w:val="left" w:pos="1350"/>
          <w:tab w:val="left" w:pos="1440"/>
          <w:tab w:val="left" w:pos="1980"/>
          <w:tab w:val="left" w:pos="8190"/>
          <w:tab w:val="left" w:pos="8460"/>
          <w:tab w:val="left" w:pos="8640"/>
        </w:tabs>
        <w:ind w:left="1276"/>
        <w:jc w:val="both"/>
        <w:rPr>
          <w:sz w:val="24"/>
          <w:szCs w:val="24"/>
        </w:rPr>
      </w:pPr>
      <w:r>
        <w:rPr>
          <w:sz w:val="24"/>
          <w:szCs w:val="24"/>
        </w:rPr>
        <w:t>For financial asset</w:t>
      </w:r>
      <w:r w:rsidR="006570EA">
        <w:rPr>
          <w:sz w:val="24"/>
          <w:szCs w:val="24"/>
        </w:rPr>
        <w:t>s carried at amortized cost,</w:t>
      </w:r>
      <w:r w:rsidR="00C74210">
        <w:rPr>
          <w:sz w:val="24"/>
          <w:szCs w:val="24"/>
        </w:rPr>
        <w:t xml:space="preserve"> </w:t>
      </w:r>
      <w:proofErr w:type="spellStart"/>
      <w:r>
        <w:rPr>
          <w:sz w:val="24"/>
          <w:szCs w:val="24"/>
        </w:rPr>
        <w:t>PhilSCA</w:t>
      </w:r>
      <w:proofErr w:type="spellEnd"/>
      <w:r>
        <w:rPr>
          <w:sz w:val="24"/>
          <w:szCs w:val="24"/>
        </w:rPr>
        <w:t xml:space="preserve"> first assesses whether objective evidence of impairment exists individually for financial assets that are individually significant, or collectively for financial assets that are not </w:t>
      </w:r>
      <w:r w:rsidR="00C35499">
        <w:rPr>
          <w:sz w:val="24"/>
          <w:szCs w:val="24"/>
        </w:rPr>
        <w:t>individually significant. If</w:t>
      </w:r>
      <w:r w:rsidR="007D3C59">
        <w:rPr>
          <w:sz w:val="24"/>
          <w:szCs w:val="24"/>
        </w:rPr>
        <w:t xml:space="preserve"> it</w:t>
      </w:r>
      <w:r>
        <w:rPr>
          <w:sz w:val="24"/>
          <w:szCs w:val="24"/>
        </w:rPr>
        <w:t xml:space="preserve"> determines that no objective evidence of impairment exists for an individually assessed financial asset, whether significant or not, it includes the asset in a group of financial assets with similar credit risk characteristics and collectively assesses them for impairment. Assets that are individually assessed for impairment and for which an impairment loss is, or continues to be, recognized are not included in a collective assessment of impairment.</w:t>
      </w:r>
    </w:p>
    <w:p w:rsidR="00C262E2" w:rsidRDefault="00C262E2">
      <w:pPr>
        <w:rPr>
          <w:sz w:val="24"/>
          <w:szCs w:val="24"/>
        </w:rPr>
      </w:pPr>
      <w:r>
        <w:rPr>
          <w:sz w:val="24"/>
          <w:szCs w:val="24"/>
        </w:rPr>
        <w:br w:type="page"/>
      </w:r>
    </w:p>
    <w:p w:rsidR="00FD60E6" w:rsidRDefault="009342D9" w:rsidP="00C262E2">
      <w:pPr>
        <w:tabs>
          <w:tab w:val="left" w:pos="1980"/>
          <w:tab w:val="left" w:pos="8370"/>
          <w:tab w:val="left" w:pos="8640"/>
        </w:tabs>
        <w:ind w:left="1276"/>
        <w:jc w:val="both"/>
        <w:rPr>
          <w:sz w:val="24"/>
          <w:szCs w:val="24"/>
        </w:rPr>
      </w:pPr>
      <w:r>
        <w:rPr>
          <w:sz w:val="24"/>
          <w:szCs w:val="24"/>
        </w:rPr>
        <w:lastRenderedPageBreak/>
        <w:t>If there is objective evidence that an impairment loss has been incurred, the amount of the loss is measured as the difference bet</w:t>
      </w:r>
      <w:r w:rsidR="00C262E2">
        <w:rPr>
          <w:sz w:val="24"/>
          <w:szCs w:val="24"/>
        </w:rPr>
        <w:t xml:space="preserve">ween the assets carrying amount </w:t>
      </w:r>
      <w:r>
        <w:rPr>
          <w:sz w:val="24"/>
          <w:szCs w:val="24"/>
        </w:rPr>
        <w:t xml:space="preserve">and the present value of estimated future cash flows (excluding future expected credit losses that have not yet been incurred). The present value of the estimated future cash flows is discounted at the financial asset’s original effective interest rate. If a loan has a variable interest rate, the discount rate for measuring any impairment loss is the current effective interest rate. </w:t>
      </w:r>
    </w:p>
    <w:p w:rsidR="008B5F3A" w:rsidRPr="00C262E2" w:rsidRDefault="008B5F3A" w:rsidP="00322F15">
      <w:pPr>
        <w:tabs>
          <w:tab w:val="left" w:pos="900"/>
          <w:tab w:val="left" w:pos="990"/>
          <w:tab w:val="left" w:pos="1080"/>
          <w:tab w:val="left" w:pos="1170"/>
          <w:tab w:val="left" w:pos="1350"/>
          <w:tab w:val="left" w:pos="1440"/>
          <w:tab w:val="left" w:pos="1980"/>
        </w:tabs>
        <w:ind w:left="900"/>
        <w:jc w:val="both"/>
        <w:rPr>
          <w:sz w:val="18"/>
          <w:szCs w:val="18"/>
        </w:rPr>
      </w:pPr>
    </w:p>
    <w:p w:rsidR="00621C0E" w:rsidRDefault="008B5F3A" w:rsidP="00C262E2">
      <w:pPr>
        <w:tabs>
          <w:tab w:val="left" w:pos="1980"/>
          <w:tab w:val="left" w:pos="8370"/>
          <w:tab w:val="left" w:pos="8640"/>
        </w:tabs>
        <w:ind w:left="1276"/>
        <w:jc w:val="both"/>
        <w:rPr>
          <w:sz w:val="24"/>
          <w:szCs w:val="24"/>
        </w:rPr>
      </w:pPr>
      <w:r>
        <w:rPr>
          <w:sz w:val="24"/>
          <w:szCs w:val="24"/>
        </w:rPr>
        <w:t>The carrying amount of the asset is reduced through the use of an allowance account and the amount of the loss is recognized in surplus or deficit. Loans together with the associated allowance are written off when there is no realistic prospect of future recovery and all collateral has bee</w:t>
      </w:r>
      <w:r w:rsidR="00E65A38">
        <w:rPr>
          <w:sz w:val="24"/>
          <w:szCs w:val="24"/>
        </w:rPr>
        <w:t>n realized or transferred to</w:t>
      </w:r>
      <w:r w:rsidR="00C74210">
        <w:rPr>
          <w:sz w:val="24"/>
          <w:szCs w:val="24"/>
        </w:rPr>
        <w:t xml:space="preserve"> </w:t>
      </w:r>
      <w:proofErr w:type="spellStart"/>
      <w:r>
        <w:rPr>
          <w:sz w:val="24"/>
          <w:szCs w:val="24"/>
        </w:rPr>
        <w:t>PhilSCA</w:t>
      </w:r>
      <w:proofErr w:type="spellEnd"/>
      <w:r>
        <w:rPr>
          <w:sz w:val="24"/>
          <w:szCs w:val="24"/>
        </w:rPr>
        <w:t>. If, in a subsequent year, the amount of the estimated impairment loss increases or decreases because of an event occurring after the impairment was recognized, the previously recognized impairment loss is increased or reduced by adjusting the allowance account. If a future write-off is later recovered, the recovery is credited to finance costs in surplus or deficit.</w:t>
      </w:r>
    </w:p>
    <w:p w:rsidR="0074162A" w:rsidRPr="00C262E2" w:rsidRDefault="00C76322" w:rsidP="00423DDC">
      <w:pPr>
        <w:tabs>
          <w:tab w:val="left" w:pos="900"/>
          <w:tab w:val="left" w:pos="990"/>
          <w:tab w:val="left" w:pos="1080"/>
          <w:tab w:val="left" w:pos="1170"/>
          <w:tab w:val="left" w:pos="1350"/>
          <w:tab w:val="left" w:pos="1440"/>
          <w:tab w:val="left" w:pos="1980"/>
          <w:tab w:val="left" w:pos="8730"/>
        </w:tabs>
        <w:ind w:left="630"/>
        <w:jc w:val="both"/>
        <w:rPr>
          <w:b/>
          <w:sz w:val="18"/>
          <w:szCs w:val="18"/>
        </w:rPr>
      </w:pPr>
      <w:r w:rsidRPr="00C76322">
        <w:rPr>
          <w:b/>
          <w:sz w:val="24"/>
          <w:szCs w:val="24"/>
        </w:rPr>
        <w:tab/>
      </w:r>
    </w:p>
    <w:p w:rsidR="00C76322" w:rsidRDefault="00C76322" w:rsidP="00C262E2">
      <w:pPr>
        <w:pStyle w:val="ListParagraph"/>
        <w:numPr>
          <w:ilvl w:val="0"/>
          <w:numId w:val="19"/>
        </w:numPr>
        <w:ind w:left="1260" w:hanging="267"/>
        <w:jc w:val="both"/>
        <w:rPr>
          <w:b/>
          <w:sz w:val="24"/>
          <w:szCs w:val="24"/>
        </w:rPr>
      </w:pPr>
      <w:r>
        <w:rPr>
          <w:b/>
          <w:sz w:val="24"/>
          <w:szCs w:val="24"/>
        </w:rPr>
        <w:t>Financial liabilities</w:t>
      </w:r>
    </w:p>
    <w:p w:rsidR="00C76322" w:rsidRPr="00C262E2" w:rsidRDefault="00C76322" w:rsidP="00423DDC">
      <w:pPr>
        <w:tabs>
          <w:tab w:val="left" w:pos="900"/>
          <w:tab w:val="left" w:pos="990"/>
          <w:tab w:val="left" w:pos="1080"/>
          <w:tab w:val="left" w:pos="1170"/>
          <w:tab w:val="left" w:pos="1350"/>
          <w:tab w:val="left" w:pos="1440"/>
          <w:tab w:val="left" w:pos="1980"/>
        </w:tabs>
        <w:ind w:left="630"/>
        <w:jc w:val="both"/>
        <w:rPr>
          <w:b/>
          <w:sz w:val="18"/>
          <w:szCs w:val="18"/>
        </w:rPr>
      </w:pPr>
      <w:r>
        <w:rPr>
          <w:b/>
          <w:sz w:val="24"/>
          <w:szCs w:val="24"/>
        </w:rPr>
        <w:tab/>
      </w:r>
      <w:r>
        <w:rPr>
          <w:b/>
          <w:sz w:val="24"/>
          <w:szCs w:val="24"/>
        </w:rPr>
        <w:tab/>
      </w:r>
    </w:p>
    <w:p w:rsidR="00C76322" w:rsidRDefault="00C76322" w:rsidP="00C262E2">
      <w:pPr>
        <w:tabs>
          <w:tab w:val="left" w:pos="1980"/>
        </w:tabs>
        <w:ind w:left="1276"/>
        <w:jc w:val="both"/>
        <w:rPr>
          <w:b/>
          <w:i/>
          <w:sz w:val="24"/>
          <w:szCs w:val="24"/>
        </w:rPr>
      </w:pPr>
      <w:r>
        <w:rPr>
          <w:b/>
          <w:i/>
          <w:sz w:val="24"/>
          <w:szCs w:val="24"/>
        </w:rPr>
        <w:t>Initial recognition and measurement</w:t>
      </w:r>
    </w:p>
    <w:p w:rsidR="00C76322" w:rsidRPr="00C262E2" w:rsidRDefault="00C76322" w:rsidP="00C262E2">
      <w:pPr>
        <w:tabs>
          <w:tab w:val="left" w:pos="1980"/>
          <w:tab w:val="left" w:pos="8640"/>
        </w:tabs>
        <w:ind w:left="1276"/>
        <w:jc w:val="both"/>
        <w:rPr>
          <w:sz w:val="18"/>
          <w:szCs w:val="18"/>
        </w:rPr>
      </w:pPr>
    </w:p>
    <w:p w:rsidR="00C76322" w:rsidRDefault="00C76322" w:rsidP="00C262E2">
      <w:pPr>
        <w:tabs>
          <w:tab w:val="left" w:pos="8550"/>
        </w:tabs>
        <w:ind w:left="1276"/>
        <w:jc w:val="both"/>
        <w:rPr>
          <w:sz w:val="24"/>
          <w:szCs w:val="24"/>
        </w:rPr>
      </w:pPr>
      <w:r w:rsidRPr="00F53DE8">
        <w:rPr>
          <w:sz w:val="24"/>
          <w:szCs w:val="24"/>
        </w:rPr>
        <w:t xml:space="preserve">Financial liabilities within the scope of IPSAS 29 are classified as financial liabilities at fair value through surplus or deficit or loans and borrowings, as appropriate. The </w:t>
      </w:r>
      <w:r w:rsidR="0009173C">
        <w:rPr>
          <w:sz w:val="24"/>
          <w:szCs w:val="24"/>
        </w:rPr>
        <w:t>entity</w:t>
      </w:r>
      <w:r w:rsidRPr="00F53DE8">
        <w:rPr>
          <w:sz w:val="24"/>
          <w:szCs w:val="24"/>
        </w:rPr>
        <w:t xml:space="preserve"> determines the classification of its financial liabilities at initial recognition.</w:t>
      </w:r>
    </w:p>
    <w:p w:rsidR="00C76322" w:rsidRPr="00C262E2" w:rsidRDefault="00C76322" w:rsidP="00C262E2">
      <w:pPr>
        <w:tabs>
          <w:tab w:val="left" w:pos="8550"/>
        </w:tabs>
        <w:ind w:left="1276"/>
        <w:jc w:val="both"/>
        <w:rPr>
          <w:sz w:val="18"/>
          <w:szCs w:val="18"/>
        </w:rPr>
      </w:pPr>
    </w:p>
    <w:p w:rsidR="00C76322" w:rsidRDefault="00C76322" w:rsidP="00C262E2">
      <w:pPr>
        <w:tabs>
          <w:tab w:val="left" w:pos="8370"/>
          <w:tab w:val="left" w:pos="8550"/>
        </w:tabs>
        <w:ind w:left="1276"/>
        <w:jc w:val="both"/>
        <w:rPr>
          <w:sz w:val="24"/>
          <w:szCs w:val="24"/>
        </w:rPr>
      </w:pPr>
      <w:r>
        <w:rPr>
          <w:sz w:val="24"/>
          <w:szCs w:val="24"/>
        </w:rPr>
        <w:t>All financial liabilities are recognized initially at fair value and, in the case of loans and borrowings, plus directly attributable transaction costs.</w:t>
      </w:r>
    </w:p>
    <w:p w:rsidR="00C76322" w:rsidRPr="00C262E2" w:rsidRDefault="00C76322" w:rsidP="00C262E2">
      <w:pPr>
        <w:tabs>
          <w:tab w:val="left" w:pos="8280"/>
        </w:tabs>
        <w:ind w:left="1276"/>
        <w:jc w:val="both"/>
        <w:rPr>
          <w:sz w:val="18"/>
          <w:szCs w:val="18"/>
        </w:rPr>
      </w:pPr>
    </w:p>
    <w:p w:rsidR="00C76322" w:rsidRDefault="00C76322" w:rsidP="00C262E2">
      <w:pPr>
        <w:tabs>
          <w:tab w:val="left" w:pos="8640"/>
        </w:tabs>
        <w:ind w:left="1276"/>
        <w:jc w:val="both"/>
        <w:rPr>
          <w:sz w:val="24"/>
          <w:szCs w:val="24"/>
        </w:rPr>
      </w:pPr>
      <w:proofErr w:type="spellStart"/>
      <w:r>
        <w:rPr>
          <w:sz w:val="24"/>
          <w:szCs w:val="24"/>
        </w:rPr>
        <w:t>PhilSCA’s</w:t>
      </w:r>
      <w:proofErr w:type="spellEnd"/>
      <w:r>
        <w:rPr>
          <w:sz w:val="24"/>
          <w:szCs w:val="24"/>
        </w:rPr>
        <w:t xml:space="preserve"> financial liabilities include trade and other payables, bank overdrafts, loans and borrowings, financial guarantee contracts.</w:t>
      </w:r>
    </w:p>
    <w:p w:rsidR="00C76322" w:rsidRPr="00C262E2" w:rsidRDefault="00C76322" w:rsidP="00C262E2">
      <w:pPr>
        <w:tabs>
          <w:tab w:val="left" w:pos="8640"/>
        </w:tabs>
        <w:ind w:left="1276"/>
        <w:jc w:val="both"/>
        <w:rPr>
          <w:sz w:val="18"/>
          <w:szCs w:val="18"/>
        </w:rPr>
      </w:pPr>
    </w:p>
    <w:p w:rsidR="00C76322" w:rsidRDefault="00C76322" w:rsidP="00C262E2">
      <w:pPr>
        <w:tabs>
          <w:tab w:val="left" w:pos="8640"/>
        </w:tabs>
        <w:ind w:left="1276"/>
        <w:jc w:val="both"/>
        <w:rPr>
          <w:b/>
          <w:i/>
          <w:sz w:val="24"/>
          <w:szCs w:val="24"/>
        </w:rPr>
      </w:pPr>
      <w:r>
        <w:rPr>
          <w:b/>
          <w:i/>
          <w:sz w:val="24"/>
          <w:szCs w:val="24"/>
        </w:rPr>
        <w:t>Subsequent measurement</w:t>
      </w:r>
    </w:p>
    <w:p w:rsidR="00C76322" w:rsidRPr="00C262E2" w:rsidRDefault="00C76322" w:rsidP="00C262E2">
      <w:pPr>
        <w:ind w:left="1276"/>
        <w:jc w:val="both"/>
        <w:rPr>
          <w:b/>
          <w:i/>
          <w:sz w:val="18"/>
          <w:szCs w:val="18"/>
        </w:rPr>
      </w:pPr>
    </w:p>
    <w:p w:rsidR="00C76322" w:rsidRDefault="00C76322" w:rsidP="00C262E2">
      <w:pPr>
        <w:ind w:left="1276"/>
        <w:jc w:val="both"/>
        <w:rPr>
          <w:sz w:val="24"/>
          <w:szCs w:val="24"/>
        </w:rPr>
      </w:pPr>
      <w:r>
        <w:rPr>
          <w:sz w:val="24"/>
          <w:szCs w:val="24"/>
        </w:rPr>
        <w:t xml:space="preserve">The measurement of financial liabilities depends </w:t>
      </w:r>
      <w:r w:rsidR="00F2375C">
        <w:rPr>
          <w:sz w:val="24"/>
          <w:szCs w:val="24"/>
        </w:rPr>
        <w:t>on their classification.</w:t>
      </w:r>
    </w:p>
    <w:p w:rsidR="00CF7669" w:rsidRPr="00C262E2" w:rsidRDefault="00CF7669" w:rsidP="00C262E2">
      <w:pPr>
        <w:tabs>
          <w:tab w:val="left" w:pos="8550"/>
        </w:tabs>
        <w:ind w:left="1276"/>
        <w:jc w:val="both"/>
        <w:rPr>
          <w:sz w:val="18"/>
          <w:szCs w:val="18"/>
        </w:rPr>
      </w:pPr>
    </w:p>
    <w:p w:rsidR="00F2375C" w:rsidRDefault="00F2375C" w:rsidP="00C262E2">
      <w:pPr>
        <w:ind w:left="1276"/>
        <w:jc w:val="both"/>
        <w:rPr>
          <w:i/>
          <w:sz w:val="24"/>
          <w:szCs w:val="24"/>
        </w:rPr>
      </w:pPr>
      <w:r>
        <w:rPr>
          <w:i/>
          <w:sz w:val="24"/>
          <w:szCs w:val="24"/>
        </w:rPr>
        <w:t>Financial liabilities at fair value through surplus or deficit</w:t>
      </w:r>
    </w:p>
    <w:p w:rsidR="00F2375C" w:rsidRPr="00C262E2" w:rsidRDefault="00F2375C" w:rsidP="00C262E2">
      <w:pPr>
        <w:tabs>
          <w:tab w:val="left" w:pos="8550"/>
        </w:tabs>
        <w:ind w:left="1276"/>
        <w:jc w:val="both"/>
        <w:rPr>
          <w:i/>
          <w:sz w:val="18"/>
          <w:szCs w:val="18"/>
        </w:rPr>
      </w:pPr>
    </w:p>
    <w:p w:rsidR="00F2375C" w:rsidRDefault="00F2375C" w:rsidP="00C262E2">
      <w:pPr>
        <w:tabs>
          <w:tab w:val="left" w:pos="8640"/>
        </w:tabs>
        <w:ind w:left="1276"/>
        <w:jc w:val="both"/>
        <w:rPr>
          <w:sz w:val="24"/>
          <w:szCs w:val="24"/>
        </w:rPr>
      </w:pPr>
      <w:r>
        <w:rPr>
          <w:sz w:val="24"/>
          <w:szCs w:val="24"/>
        </w:rPr>
        <w:t>Financial liabilities at fair value through surplus or deficit include financial liabilities held for trading and financial liabilities designated upon initial recognition as at fair value through surplus or deficit.</w:t>
      </w:r>
    </w:p>
    <w:p w:rsidR="00F2375C" w:rsidRPr="00C262E2" w:rsidRDefault="00F2375C" w:rsidP="00C262E2">
      <w:pPr>
        <w:ind w:left="1276"/>
        <w:jc w:val="both"/>
        <w:rPr>
          <w:sz w:val="18"/>
          <w:szCs w:val="18"/>
        </w:rPr>
      </w:pPr>
    </w:p>
    <w:p w:rsidR="00F2375C" w:rsidRDefault="007756FF" w:rsidP="00C262E2">
      <w:pPr>
        <w:tabs>
          <w:tab w:val="left" w:pos="8370"/>
          <w:tab w:val="left" w:pos="8640"/>
        </w:tabs>
        <w:ind w:left="1276"/>
        <w:jc w:val="both"/>
        <w:rPr>
          <w:sz w:val="24"/>
          <w:szCs w:val="24"/>
        </w:rPr>
      </w:pPr>
      <w:r>
        <w:rPr>
          <w:sz w:val="24"/>
          <w:szCs w:val="24"/>
        </w:rPr>
        <w:t>Financial liabilities are classified as held for trading if they are acquired for the purpose of selling in the near term.</w:t>
      </w:r>
    </w:p>
    <w:p w:rsidR="000D1065" w:rsidRPr="00C262E2" w:rsidRDefault="000D1065" w:rsidP="00B84C2F">
      <w:pPr>
        <w:tabs>
          <w:tab w:val="left" w:pos="1080"/>
        </w:tabs>
        <w:ind w:left="900"/>
        <w:jc w:val="both"/>
        <w:rPr>
          <w:sz w:val="18"/>
          <w:szCs w:val="18"/>
        </w:rPr>
      </w:pPr>
    </w:p>
    <w:p w:rsidR="007A3D28" w:rsidRDefault="000D1065" w:rsidP="007A3D28">
      <w:pPr>
        <w:tabs>
          <w:tab w:val="left" w:pos="8370"/>
          <w:tab w:val="left" w:pos="8640"/>
        </w:tabs>
        <w:ind w:left="1276"/>
        <w:jc w:val="both"/>
        <w:rPr>
          <w:sz w:val="24"/>
          <w:szCs w:val="24"/>
        </w:rPr>
      </w:pPr>
      <w:r>
        <w:rPr>
          <w:sz w:val="24"/>
          <w:szCs w:val="24"/>
        </w:rPr>
        <w:t>Gains or losses on liabilities held for trading are recognized in surplus or deficit.</w:t>
      </w:r>
      <w:r w:rsidR="007A3D28">
        <w:rPr>
          <w:sz w:val="24"/>
          <w:szCs w:val="24"/>
        </w:rPr>
        <w:br w:type="page"/>
      </w:r>
    </w:p>
    <w:p w:rsidR="00D0654B" w:rsidRDefault="00D0654B" w:rsidP="007A3D28">
      <w:pPr>
        <w:pStyle w:val="ListParagraph"/>
        <w:numPr>
          <w:ilvl w:val="0"/>
          <w:numId w:val="19"/>
        </w:numPr>
        <w:ind w:left="1260" w:hanging="267"/>
        <w:jc w:val="both"/>
        <w:rPr>
          <w:b/>
          <w:sz w:val="24"/>
          <w:szCs w:val="24"/>
        </w:rPr>
      </w:pPr>
      <w:r>
        <w:rPr>
          <w:b/>
          <w:sz w:val="24"/>
          <w:szCs w:val="24"/>
        </w:rPr>
        <w:lastRenderedPageBreak/>
        <w:t>Offsetting of financial instruments</w:t>
      </w:r>
    </w:p>
    <w:p w:rsidR="006B5A2C" w:rsidRPr="007B628D" w:rsidRDefault="006B5A2C" w:rsidP="00B84C2F">
      <w:pPr>
        <w:tabs>
          <w:tab w:val="left" w:pos="900"/>
          <w:tab w:val="left" w:pos="1080"/>
          <w:tab w:val="left" w:pos="8550"/>
        </w:tabs>
        <w:ind w:left="900"/>
        <w:jc w:val="both"/>
        <w:rPr>
          <w:b/>
          <w:sz w:val="18"/>
          <w:szCs w:val="18"/>
        </w:rPr>
      </w:pPr>
    </w:p>
    <w:p w:rsidR="00D0654B" w:rsidRDefault="00D0654B" w:rsidP="007A3D28">
      <w:pPr>
        <w:tabs>
          <w:tab w:val="left" w:pos="8550"/>
          <w:tab w:val="left" w:pos="8640"/>
        </w:tabs>
        <w:ind w:left="1276"/>
        <w:jc w:val="both"/>
        <w:rPr>
          <w:sz w:val="24"/>
          <w:szCs w:val="24"/>
        </w:rPr>
      </w:pPr>
      <w:r>
        <w:rPr>
          <w:sz w:val="24"/>
          <w:szCs w:val="24"/>
        </w:rPr>
        <w:t>Financial assets and financial liabilities are offset and the net amount reported in the statement of financial position if, and only if, there is a currently enforceable legal right to offset the recognized amounts and there is an intention to settle on a net basis, or to realize the assets and settle the liabilities simultaneously.</w:t>
      </w:r>
    </w:p>
    <w:p w:rsidR="00D0654B" w:rsidRPr="007B628D" w:rsidRDefault="00D0654B" w:rsidP="00B84C2F">
      <w:pPr>
        <w:tabs>
          <w:tab w:val="left" w:pos="900"/>
          <w:tab w:val="left" w:pos="1080"/>
          <w:tab w:val="left" w:pos="8640"/>
        </w:tabs>
        <w:ind w:left="900"/>
        <w:jc w:val="both"/>
        <w:rPr>
          <w:sz w:val="18"/>
          <w:szCs w:val="18"/>
        </w:rPr>
      </w:pPr>
    </w:p>
    <w:p w:rsidR="001500A4" w:rsidRDefault="001500A4" w:rsidP="007A3D28">
      <w:pPr>
        <w:pStyle w:val="ListParagraph"/>
        <w:numPr>
          <w:ilvl w:val="0"/>
          <w:numId w:val="19"/>
        </w:numPr>
        <w:ind w:left="1260" w:hanging="267"/>
        <w:jc w:val="both"/>
        <w:rPr>
          <w:b/>
          <w:sz w:val="24"/>
          <w:szCs w:val="24"/>
        </w:rPr>
      </w:pPr>
      <w:r>
        <w:rPr>
          <w:b/>
          <w:sz w:val="24"/>
          <w:szCs w:val="24"/>
        </w:rPr>
        <w:t>Fair value of financial instruments</w:t>
      </w:r>
    </w:p>
    <w:p w:rsidR="001500A4" w:rsidRPr="007B628D" w:rsidRDefault="001500A4" w:rsidP="007A3D28">
      <w:pPr>
        <w:ind w:left="993"/>
        <w:jc w:val="both"/>
        <w:rPr>
          <w:b/>
          <w:sz w:val="18"/>
          <w:szCs w:val="18"/>
        </w:rPr>
      </w:pPr>
    </w:p>
    <w:p w:rsidR="001500A4" w:rsidRDefault="001500A4" w:rsidP="007A3D28">
      <w:pPr>
        <w:tabs>
          <w:tab w:val="left" w:pos="8550"/>
          <w:tab w:val="left" w:pos="8640"/>
        </w:tabs>
        <w:ind w:left="1276"/>
        <w:jc w:val="both"/>
        <w:rPr>
          <w:sz w:val="24"/>
          <w:szCs w:val="24"/>
        </w:rPr>
      </w:pPr>
      <w:r>
        <w:rPr>
          <w:sz w:val="24"/>
          <w:szCs w:val="24"/>
        </w:rPr>
        <w:t>The fair value of financial instruments that are traded in active markets at each reporting date is determined by reference to quoted market prices or dealer price quotations (bid price for long positions and ask price for short positions), without any deduction for transaction costs.</w:t>
      </w:r>
    </w:p>
    <w:p w:rsidR="00BE6227" w:rsidRPr="007B628D" w:rsidRDefault="00BE6227" w:rsidP="00B84C2F">
      <w:pPr>
        <w:tabs>
          <w:tab w:val="left" w:pos="900"/>
          <w:tab w:val="left" w:pos="1080"/>
          <w:tab w:val="left" w:pos="8370"/>
          <w:tab w:val="left" w:pos="8640"/>
        </w:tabs>
        <w:ind w:left="900"/>
        <w:jc w:val="both"/>
        <w:rPr>
          <w:sz w:val="18"/>
          <w:szCs w:val="18"/>
        </w:rPr>
      </w:pPr>
    </w:p>
    <w:p w:rsidR="001A266D" w:rsidRPr="00F53DE8" w:rsidRDefault="001A266D" w:rsidP="007A3D28">
      <w:pPr>
        <w:pStyle w:val="BodyTextIndent"/>
        <w:numPr>
          <w:ilvl w:val="1"/>
          <w:numId w:val="18"/>
        </w:numPr>
        <w:ind w:left="993" w:hanging="567"/>
        <w:rPr>
          <w:b/>
          <w:szCs w:val="24"/>
        </w:rPr>
      </w:pPr>
      <w:r w:rsidRPr="00F53DE8">
        <w:rPr>
          <w:b/>
          <w:szCs w:val="24"/>
        </w:rPr>
        <w:t xml:space="preserve">Cash and </w:t>
      </w:r>
      <w:r w:rsidR="00FF0476">
        <w:rPr>
          <w:b/>
          <w:szCs w:val="24"/>
        </w:rPr>
        <w:t>C</w:t>
      </w:r>
      <w:r w:rsidRPr="00F53DE8">
        <w:rPr>
          <w:b/>
          <w:szCs w:val="24"/>
        </w:rPr>
        <w:t xml:space="preserve">ash </w:t>
      </w:r>
      <w:r w:rsidR="00FF0476">
        <w:rPr>
          <w:b/>
          <w:szCs w:val="24"/>
        </w:rPr>
        <w:t>E</w:t>
      </w:r>
      <w:r w:rsidRPr="00F53DE8">
        <w:rPr>
          <w:b/>
          <w:szCs w:val="24"/>
        </w:rPr>
        <w:t>quivalents</w:t>
      </w:r>
    </w:p>
    <w:p w:rsidR="001A266D" w:rsidRPr="007B628D" w:rsidRDefault="001A266D" w:rsidP="00A004D1">
      <w:pPr>
        <w:tabs>
          <w:tab w:val="left" w:pos="900"/>
        </w:tabs>
        <w:ind w:left="270"/>
        <w:jc w:val="both"/>
        <w:rPr>
          <w:sz w:val="18"/>
          <w:szCs w:val="18"/>
        </w:rPr>
      </w:pPr>
    </w:p>
    <w:p w:rsidR="002D6FFD" w:rsidRDefault="001A266D" w:rsidP="007A3D28">
      <w:pPr>
        <w:tabs>
          <w:tab w:val="left" w:pos="8370"/>
          <w:tab w:val="left" w:pos="8550"/>
          <w:tab w:val="left" w:pos="8640"/>
        </w:tabs>
        <w:ind w:left="993"/>
        <w:jc w:val="both"/>
        <w:rPr>
          <w:sz w:val="24"/>
          <w:szCs w:val="24"/>
        </w:rPr>
      </w:pPr>
      <w:r w:rsidRPr="00F53DE8">
        <w:rPr>
          <w:sz w:val="24"/>
          <w:szCs w:val="24"/>
        </w:rPr>
        <w:t xml:space="preserve">Cash and cash equivalents comprise </w:t>
      </w:r>
      <w:r w:rsidR="0009173C">
        <w:rPr>
          <w:sz w:val="24"/>
          <w:szCs w:val="24"/>
        </w:rPr>
        <w:t xml:space="preserve">of </w:t>
      </w:r>
      <w:r w:rsidRPr="00F53DE8">
        <w:rPr>
          <w:sz w:val="24"/>
          <w:szCs w:val="24"/>
        </w:rPr>
        <w:t>cash on hand and cash at bank, deposits on cal</w:t>
      </w:r>
      <w:r>
        <w:rPr>
          <w:sz w:val="24"/>
          <w:szCs w:val="24"/>
        </w:rPr>
        <w:t>l and highly liquid investments with an original maturity of three months or less,</w:t>
      </w:r>
      <w:r w:rsidRPr="00F53DE8">
        <w:rPr>
          <w:sz w:val="24"/>
          <w:szCs w:val="24"/>
        </w:rPr>
        <w:t xml:space="preserve"> which are readily convertible to known amounts of cash and are subject to insignificant risk of changes in value. For the purpose of the consolidated statement of cash flows, cash and cash equivalents consist of cash and short-term deposits as defined above, net of outstanding bank overdrafts.</w:t>
      </w:r>
    </w:p>
    <w:p w:rsidR="002D6FFD" w:rsidRPr="007B628D" w:rsidRDefault="002D6FFD" w:rsidP="00A004D1">
      <w:pPr>
        <w:tabs>
          <w:tab w:val="left" w:pos="900"/>
        </w:tabs>
        <w:ind w:left="270"/>
        <w:jc w:val="both"/>
        <w:rPr>
          <w:sz w:val="18"/>
          <w:szCs w:val="18"/>
        </w:rPr>
      </w:pPr>
    </w:p>
    <w:p w:rsidR="007663F1" w:rsidRPr="00F53DE8" w:rsidRDefault="007663F1" w:rsidP="007A3D28">
      <w:pPr>
        <w:pStyle w:val="BodyTextIndent"/>
        <w:numPr>
          <w:ilvl w:val="1"/>
          <w:numId w:val="18"/>
        </w:numPr>
        <w:ind w:left="993" w:hanging="567"/>
        <w:rPr>
          <w:b/>
          <w:szCs w:val="24"/>
        </w:rPr>
      </w:pPr>
      <w:r w:rsidRPr="00F53DE8">
        <w:rPr>
          <w:b/>
          <w:szCs w:val="24"/>
        </w:rPr>
        <w:t>Inventories</w:t>
      </w:r>
    </w:p>
    <w:p w:rsidR="007663F1" w:rsidRPr="007B628D" w:rsidRDefault="007663F1" w:rsidP="00A004D1">
      <w:pPr>
        <w:tabs>
          <w:tab w:val="left" w:pos="900"/>
        </w:tabs>
        <w:ind w:left="270"/>
        <w:jc w:val="both"/>
        <w:rPr>
          <w:sz w:val="18"/>
          <w:szCs w:val="18"/>
        </w:rPr>
      </w:pPr>
    </w:p>
    <w:p w:rsidR="007663F1" w:rsidRDefault="007663F1" w:rsidP="007A3D28">
      <w:pPr>
        <w:tabs>
          <w:tab w:val="left" w:pos="8370"/>
          <w:tab w:val="left" w:pos="8550"/>
          <w:tab w:val="left" w:pos="8640"/>
        </w:tabs>
        <w:ind w:left="993"/>
        <w:jc w:val="both"/>
        <w:rPr>
          <w:sz w:val="24"/>
          <w:szCs w:val="24"/>
        </w:rPr>
      </w:pPr>
      <w:r w:rsidRPr="00F53DE8">
        <w:rPr>
          <w:sz w:val="24"/>
          <w:szCs w:val="24"/>
        </w:rPr>
        <w:t>Inventory is measured at cost upon initial recognition. To the extent that inventory was received through non-exchange transactions (for no cost or for a nominal cost), the cost of the inventory is its fair value at the date of acquisition.</w:t>
      </w:r>
    </w:p>
    <w:p w:rsidR="007663F1" w:rsidRPr="007B628D" w:rsidRDefault="007663F1" w:rsidP="007A3D28">
      <w:pPr>
        <w:tabs>
          <w:tab w:val="left" w:pos="900"/>
        </w:tabs>
        <w:ind w:left="993"/>
        <w:jc w:val="both"/>
        <w:rPr>
          <w:sz w:val="18"/>
          <w:szCs w:val="18"/>
        </w:rPr>
      </w:pPr>
    </w:p>
    <w:p w:rsidR="007663F1" w:rsidRDefault="007663F1" w:rsidP="007A3D28">
      <w:pPr>
        <w:tabs>
          <w:tab w:val="left" w:pos="8370"/>
          <w:tab w:val="left" w:pos="8550"/>
          <w:tab w:val="left" w:pos="8640"/>
        </w:tabs>
        <w:ind w:left="993"/>
        <w:jc w:val="both"/>
        <w:rPr>
          <w:sz w:val="24"/>
          <w:szCs w:val="24"/>
        </w:rPr>
      </w:pPr>
      <w:r>
        <w:rPr>
          <w:sz w:val="24"/>
          <w:szCs w:val="24"/>
        </w:rPr>
        <w:t>After initial recognition, inventory is measured at the lower of cost and net realizable value. However, to the extent that a class of inventory is distributed or deployed at no charge or for a nominal charge, that class of inventory is measured at the lower of cost and current replacement cost.</w:t>
      </w:r>
    </w:p>
    <w:p w:rsidR="007663F1" w:rsidRPr="007B628D" w:rsidRDefault="007663F1" w:rsidP="007A3D28">
      <w:pPr>
        <w:pStyle w:val="ListParagraph"/>
        <w:tabs>
          <w:tab w:val="left" w:pos="720"/>
          <w:tab w:val="left" w:pos="990"/>
        </w:tabs>
        <w:ind w:left="993"/>
        <w:jc w:val="both"/>
        <w:rPr>
          <w:sz w:val="18"/>
          <w:szCs w:val="18"/>
        </w:rPr>
      </w:pPr>
    </w:p>
    <w:p w:rsidR="007663F1" w:rsidRDefault="007663F1" w:rsidP="007A3D28">
      <w:pPr>
        <w:tabs>
          <w:tab w:val="left" w:pos="8370"/>
          <w:tab w:val="left" w:pos="8550"/>
          <w:tab w:val="left" w:pos="8640"/>
        </w:tabs>
        <w:ind w:left="993"/>
        <w:jc w:val="both"/>
        <w:rPr>
          <w:sz w:val="24"/>
          <w:szCs w:val="24"/>
        </w:rPr>
      </w:pPr>
      <w:r>
        <w:rPr>
          <w:sz w:val="24"/>
          <w:szCs w:val="24"/>
        </w:rPr>
        <w:t>Net realizable value is the estimated selling price in the ordinary course of operations, less the estimated costs of completion and the estimated costs necessary to make the sale, exchange, or distribution.</w:t>
      </w:r>
    </w:p>
    <w:p w:rsidR="007663F1" w:rsidRPr="007B628D" w:rsidRDefault="007663F1" w:rsidP="007A3D28">
      <w:pPr>
        <w:pStyle w:val="ListParagraph"/>
        <w:tabs>
          <w:tab w:val="left" w:pos="720"/>
          <w:tab w:val="left" w:pos="990"/>
        </w:tabs>
        <w:ind w:left="993"/>
        <w:jc w:val="both"/>
        <w:rPr>
          <w:sz w:val="18"/>
          <w:szCs w:val="18"/>
        </w:rPr>
      </w:pPr>
    </w:p>
    <w:p w:rsidR="007663F1" w:rsidRDefault="007663F1" w:rsidP="007B628D">
      <w:pPr>
        <w:tabs>
          <w:tab w:val="left" w:pos="8370"/>
          <w:tab w:val="left" w:pos="8550"/>
          <w:tab w:val="left" w:pos="8640"/>
        </w:tabs>
        <w:ind w:left="993"/>
        <w:jc w:val="both"/>
        <w:rPr>
          <w:sz w:val="24"/>
          <w:szCs w:val="24"/>
        </w:rPr>
      </w:pPr>
      <w:r w:rsidRPr="00F53DE8">
        <w:rPr>
          <w:sz w:val="24"/>
          <w:szCs w:val="24"/>
        </w:rPr>
        <w:t xml:space="preserve">Inventories are recognized as an expense when deployed for utilization or consumption in the ordinary course of operations of the </w:t>
      </w:r>
      <w:proofErr w:type="spellStart"/>
      <w:r w:rsidRPr="00F53DE8">
        <w:rPr>
          <w:sz w:val="24"/>
          <w:szCs w:val="24"/>
        </w:rPr>
        <w:t>P</w:t>
      </w:r>
      <w:r>
        <w:rPr>
          <w:sz w:val="24"/>
          <w:szCs w:val="24"/>
        </w:rPr>
        <w:t>hilSCA</w:t>
      </w:r>
      <w:proofErr w:type="spellEnd"/>
      <w:r w:rsidRPr="00F53DE8">
        <w:rPr>
          <w:sz w:val="24"/>
          <w:szCs w:val="24"/>
        </w:rPr>
        <w:t>.</w:t>
      </w:r>
    </w:p>
    <w:p w:rsidR="00FA08D7" w:rsidRPr="007B628D" w:rsidRDefault="00FA08D7" w:rsidP="00A004D1">
      <w:pPr>
        <w:tabs>
          <w:tab w:val="left" w:pos="900"/>
          <w:tab w:val="left" w:pos="8640"/>
        </w:tabs>
        <w:ind w:left="270"/>
        <w:jc w:val="both"/>
        <w:rPr>
          <w:sz w:val="18"/>
          <w:szCs w:val="18"/>
        </w:rPr>
      </w:pPr>
    </w:p>
    <w:p w:rsidR="00FA08D7" w:rsidRDefault="002668AA" w:rsidP="007B628D">
      <w:pPr>
        <w:pStyle w:val="BodyTextIndent"/>
        <w:numPr>
          <w:ilvl w:val="1"/>
          <w:numId w:val="18"/>
        </w:numPr>
        <w:ind w:left="993" w:hanging="567"/>
        <w:rPr>
          <w:b/>
          <w:szCs w:val="24"/>
        </w:rPr>
      </w:pPr>
      <w:r>
        <w:rPr>
          <w:b/>
          <w:szCs w:val="24"/>
        </w:rPr>
        <w:t>Property, Plant and Equipment</w:t>
      </w:r>
    </w:p>
    <w:p w:rsidR="002668AA" w:rsidRPr="007B628D" w:rsidRDefault="002668AA" w:rsidP="00A004D1">
      <w:pPr>
        <w:tabs>
          <w:tab w:val="left" w:pos="900"/>
          <w:tab w:val="left" w:pos="8640"/>
        </w:tabs>
        <w:ind w:left="270"/>
        <w:jc w:val="both"/>
        <w:rPr>
          <w:b/>
          <w:sz w:val="18"/>
          <w:szCs w:val="18"/>
        </w:rPr>
      </w:pPr>
    </w:p>
    <w:p w:rsidR="002668AA" w:rsidRDefault="002668AA" w:rsidP="007B628D">
      <w:pPr>
        <w:tabs>
          <w:tab w:val="left" w:pos="8370"/>
          <w:tab w:val="left" w:pos="8550"/>
          <w:tab w:val="left" w:pos="8640"/>
        </w:tabs>
        <w:ind w:left="993"/>
        <w:jc w:val="both"/>
        <w:rPr>
          <w:b/>
          <w:i/>
          <w:sz w:val="24"/>
          <w:szCs w:val="24"/>
        </w:rPr>
      </w:pPr>
      <w:r>
        <w:rPr>
          <w:b/>
          <w:i/>
          <w:sz w:val="24"/>
          <w:szCs w:val="24"/>
        </w:rPr>
        <w:t>Recognition</w:t>
      </w:r>
    </w:p>
    <w:p w:rsidR="002668AA" w:rsidRPr="007B628D" w:rsidRDefault="002668AA" w:rsidP="007B628D">
      <w:pPr>
        <w:tabs>
          <w:tab w:val="left" w:pos="900"/>
        </w:tabs>
        <w:ind w:left="993"/>
        <w:jc w:val="both"/>
        <w:rPr>
          <w:b/>
          <w:i/>
          <w:sz w:val="18"/>
          <w:szCs w:val="18"/>
        </w:rPr>
      </w:pPr>
    </w:p>
    <w:p w:rsidR="002668AA" w:rsidRDefault="002668AA" w:rsidP="007B628D">
      <w:pPr>
        <w:tabs>
          <w:tab w:val="left" w:pos="8370"/>
          <w:tab w:val="left" w:pos="8550"/>
          <w:tab w:val="left" w:pos="8640"/>
        </w:tabs>
        <w:ind w:left="993"/>
        <w:jc w:val="both"/>
        <w:rPr>
          <w:sz w:val="24"/>
          <w:szCs w:val="24"/>
        </w:rPr>
      </w:pPr>
      <w:r w:rsidRPr="00F53DE8">
        <w:rPr>
          <w:sz w:val="24"/>
          <w:szCs w:val="24"/>
        </w:rPr>
        <w:t>An item is recognized as property, plant, and equipment (PPE) if it meets the characteristics and recognition criteria as a PPE.</w:t>
      </w:r>
    </w:p>
    <w:p w:rsidR="007B628D" w:rsidRDefault="007B628D">
      <w:pPr>
        <w:rPr>
          <w:sz w:val="24"/>
          <w:szCs w:val="24"/>
        </w:rPr>
      </w:pPr>
      <w:r>
        <w:rPr>
          <w:sz w:val="24"/>
          <w:szCs w:val="24"/>
        </w:rPr>
        <w:br w:type="page"/>
      </w:r>
    </w:p>
    <w:p w:rsidR="002668AA" w:rsidRPr="00F53DE8" w:rsidRDefault="002668AA" w:rsidP="007B628D">
      <w:pPr>
        <w:tabs>
          <w:tab w:val="left" w:pos="8370"/>
          <w:tab w:val="left" w:pos="8550"/>
          <w:tab w:val="left" w:pos="8640"/>
        </w:tabs>
        <w:ind w:left="993"/>
        <w:jc w:val="both"/>
        <w:rPr>
          <w:sz w:val="24"/>
          <w:szCs w:val="24"/>
        </w:rPr>
      </w:pPr>
      <w:r w:rsidRPr="00F53DE8">
        <w:rPr>
          <w:sz w:val="24"/>
          <w:szCs w:val="24"/>
        </w:rPr>
        <w:lastRenderedPageBreak/>
        <w:t>The characteristics of PPE are as follows:</w:t>
      </w:r>
    </w:p>
    <w:p w:rsidR="002668AA" w:rsidRPr="00F53DE8" w:rsidRDefault="002668AA" w:rsidP="00CB5E48">
      <w:pPr>
        <w:tabs>
          <w:tab w:val="left" w:pos="720"/>
          <w:tab w:val="left" w:pos="8640"/>
        </w:tabs>
        <w:ind w:left="630"/>
        <w:jc w:val="both"/>
        <w:rPr>
          <w:sz w:val="24"/>
          <w:szCs w:val="24"/>
        </w:rPr>
      </w:pPr>
    </w:p>
    <w:p w:rsidR="002668AA" w:rsidRPr="00DD172A" w:rsidRDefault="00955286" w:rsidP="007B628D">
      <w:pPr>
        <w:pStyle w:val="ListParagraph"/>
        <w:numPr>
          <w:ilvl w:val="0"/>
          <w:numId w:val="15"/>
        </w:numPr>
        <w:tabs>
          <w:tab w:val="left" w:pos="8640"/>
        </w:tabs>
        <w:ind w:left="1276" w:hanging="283"/>
        <w:jc w:val="both"/>
        <w:rPr>
          <w:sz w:val="24"/>
          <w:szCs w:val="24"/>
        </w:rPr>
      </w:pPr>
      <w:r>
        <w:rPr>
          <w:sz w:val="24"/>
          <w:szCs w:val="24"/>
        </w:rPr>
        <w:t>T</w:t>
      </w:r>
      <w:r w:rsidR="002668AA" w:rsidRPr="00DD172A">
        <w:rPr>
          <w:sz w:val="24"/>
          <w:szCs w:val="24"/>
        </w:rPr>
        <w:t>angible items;</w:t>
      </w:r>
    </w:p>
    <w:p w:rsidR="002668AA" w:rsidRPr="00F53DE8" w:rsidRDefault="002668AA" w:rsidP="007B628D">
      <w:pPr>
        <w:ind w:left="1276" w:hanging="283"/>
        <w:jc w:val="both"/>
        <w:rPr>
          <w:sz w:val="24"/>
          <w:szCs w:val="24"/>
        </w:rPr>
      </w:pPr>
    </w:p>
    <w:p w:rsidR="002668AA" w:rsidRPr="00DD172A" w:rsidRDefault="00955286" w:rsidP="007B628D">
      <w:pPr>
        <w:pStyle w:val="ListParagraph"/>
        <w:numPr>
          <w:ilvl w:val="0"/>
          <w:numId w:val="15"/>
        </w:numPr>
        <w:tabs>
          <w:tab w:val="left" w:pos="1080"/>
          <w:tab w:val="left" w:pos="8640"/>
        </w:tabs>
        <w:ind w:left="1276" w:hanging="283"/>
        <w:jc w:val="both"/>
        <w:rPr>
          <w:sz w:val="24"/>
          <w:szCs w:val="24"/>
        </w:rPr>
      </w:pPr>
      <w:r>
        <w:rPr>
          <w:sz w:val="24"/>
          <w:szCs w:val="24"/>
        </w:rPr>
        <w:t>A</w:t>
      </w:r>
      <w:r w:rsidR="002668AA" w:rsidRPr="00DD172A">
        <w:rPr>
          <w:sz w:val="24"/>
          <w:szCs w:val="24"/>
        </w:rPr>
        <w:t>re held for use in the production or supply of goods or services, for rental to others, or for administrative purposes; and</w:t>
      </w:r>
    </w:p>
    <w:p w:rsidR="002668AA" w:rsidRPr="00F53DE8" w:rsidRDefault="002668AA" w:rsidP="007B628D">
      <w:pPr>
        <w:tabs>
          <w:tab w:val="left" w:pos="1080"/>
          <w:tab w:val="left" w:pos="8640"/>
        </w:tabs>
        <w:ind w:left="1276" w:hanging="283"/>
        <w:jc w:val="both"/>
        <w:rPr>
          <w:sz w:val="24"/>
          <w:szCs w:val="24"/>
        </w:rPr>
      </w:pPr>
    </w:p>
    <w:p w:rsidR="002668AA" w:rsidRPr="00DD172A" w:rsidRDefault="00955286" w:rsidP="007B628D">
      <w:pPr>
        <w:pStyle w:val="ListParagraph"/>
        <w:numPr>
          <w:ilvl w:val="0"/>
          <w:numId w:val="15"/>
        </w:numPr>
        <w:tabs>
          <w:tab w:val="left" w:pos="8640"/>
        </w:tabs>
        <w:ind w:left="1276" w:hanging="283"/>
        <w:jc w:val="both"/>
        <w:rPr>
          <w:sz w:val="24"/>
          <w:szCs w:val="24"/>
        </w:rPr>
      </w:pPr>
      <w:r>
        <w:rPr>
          <w:sz w:val="24"/>
          <w:szCs w:val="24"/>
        </w:rPr>
        <w:t>A</w:t>
      </w:r>
      <w:r w:rsidR="002668AA" w:rsidRPr="00DD172A">
        <w:rPr>
          <w:sz w:val="24"/>
          <w:szCs w:val="24"/>
        </w:rPr>
        <w:t>re expected to be used during more than one reporting period.</w:t>
      </w:r>
    </w:p>
    <w:p w:rsidR="004334C8" w:rsidRDefault="004334C8" w:rsidP="007B628D">
      <w:pPr>
        <w:tabs>
          <w:tab w:val="left" w:pos="1440"/>
          <w:tab w:val="left" w:pos="8640"/>
        </w:tabs>
        <w:ind w:left="1276" w:hanging="283"/>
        <w:jc w:val="both"/>
        <w:rPr>
          <w:sz w:val="24"/>
          <w:szCs w:val="24"/>
        </w:rPr>
      </w:pPr>
    </w:p>
    <w:p w:rsidR="004F0B4E" w:rsidRPr="000F45BD" w:rsidRDefault="004F0B4E" w:rsidP="007B628D">
      <w:pPr>
        <w:tabs>
          <w:tab w:val="left" w:pos="900"/>
        </w:tabs>
        <w:ind w:left="1276" w:hanging="283"/>
        <w:jc w:val="both"/>
        <w:rPr>
          <w:sz w:val="24"/>
          <w:szCs w:val="24"/>
        </w:rPr>
      </w:pPr>
      <w:r w:rsidRPr="000F45BD">
        <w:rPr>
          <w:sz w:val="24"/>
          <w:szCs w:val="24"/>
        </w:rPr>
        <w:t xml:space="preserve">An item of PPE is recognized as an asset if:  </w:t>
      </w:r>
    </w:p>
    <w:p w:rsidR="004F0B4E" w:rsidRPr="00F53DE8" w:rsidRDefault="004F0B4E" w:rsidP="007B628D">
      <w:pPr>
        <w:tabs>
          <w:tab w:val="left" w:pos="720"/>
          <w:tab w:val="left" w:pos="1440"/>
        </w:tabs>
        <w:ind w:left="1276" w:hanging="283"/>
        <w:jc w:val="both"/>
        <w:rPr>
          <w:sz w:val="24"/>
          <w:szCs w:val="24"/>
        </w:rPr>
      </w:pPr>
    </w:p>
    <w:p w:rsidR="004F0B4E" w:rsidRPr="00DD172A" w:rsidRDefault="004F0B4E" w:rsidP="007B628D">
      <w:pPr>
        <w:pStyle w:val="ListParagraph"/>
        <w:numPr>
          <w:ilvl w:val="0"/>
          <w:numId w:val="15"/>
        </w:numPr>
        <w:tabs>
          <w:tab w:val="left" w:pos="8550"/>
          <w:tab w:val="left" w:pos="8640"/>
        </w:tabs>
        <w:ind w:left="1276" w:hanging="283"/>
        <w:jc w:val="both"/>
        <w:rPr>
          <w:sz w:val="24"/>
          <w:szCs w:val="24"/>
        </w:rPr>
      </w:pPr>
      <w:r w:rsidRPr="00DD172A">
        <w:rPr>
          <w:sz w:val="24"/>
          <w:szCs w:val="24"/>
        </w:rPr>
        <w:t>It is probable that future economic benefits or service potential associated with the item will flow to the entity; and</w:t>
      </w:r>
    </w:p>
    <w:p w:rsidR="004F0B4E" w:rsidRPr="00767150" w:rsidRDefault="004F0B4E" w:rsidP="007B628D">
      <w:pPr>
        <w:tabs>
          <w:tab w:val="left" w:pos="1080"/>
        </w:tabs>
        <w:ind w:left="1276" w:hanging="283"/>
        <w:jc w:val="both"/>
        <w:rPr>
          <w:sz w:val="22"/>
          <w:szCs w:val="24"/>
        </w:rPr>
      </w:pPr>
    </w:p>
    <w:p w:rsidR="004F0B4E" w:rsidRPr="00DD172A" w:rsidRDefault="004F0B4E" w:rsidP="007B628D">
      <w:pPr>
        <w:pStyle w:val="ListParagraph"/>
        <w:numPr>
          <w:ilvl w:val="0"/>
          <w:numId w:val="15"/>
        </w:numPr>
        <w:tabs>
          <w:tab w:val="left" w:pos="900"/>
          <w:tab w:val="left" w:pos="8640"/>
        </w:tabs>
        <w:ind w:left="1276" w:hanging="283"/>
        <w:jc w:val="both"/>
        <w:rPr>
          <w:sz w:val="24"/>
          <w:szCs w:val="24"/>
        </w:rPr>
      </w:pPr>
      <w:r w:rsidRPr="00DD172A">
        <w:rPr>
          <w:sz w:val="24"/>
          <w:szCs w:val="24"/>
        </w:rPr>
        <w:t>The cost or fair value of the item can be measured reliably.</w:t>
      </w:r>
    </w:p>
    <w:p w:rsidR="002639F7" w:rsidRDefault="002639F7" w:rsidP="00CB5E48">
      <w:pPr>
        <w:tabs>
          <w:tab w:val="left" w:pos="720"/>
        </w:tabs>
        <w:ind w:left="630"/>
        <w:jc w:val="both"/>
        <w:rPr>
          <w:b/>
          <w:i/>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Measurement at Recognition</w:t>
      </w:r>
    </w:p>
    <w:p w:rsidR="004F0B4E" w:rsidRPr="004F0B4E" w:rsidRDefault="004F0B4E" w:rsidP="00CB5E48">
      <w:pPr>
        <w:tabs>
          <w:tab w:val="left" w:pos="720"/>
        </w:tabs>
        <w:ind w:left="630"/>
        <w:jc w:val="both"/>
        <w:rPr>
          <w:b/>
          <w:sz w:val="24"/>
          <w:szCs w:val="24"/>
        </w:rPr>
      </w:pPr>
    </w:p>
    <w:p w:rsidR="004F0B4E" w:rsidRPr="00F53DE8" w:rsidRDefault="004F0B4E" w:rsidP="007B628D">
      <w:pPr>
        <w:tabs>
          <w:tab w:val="left" w:pos="8370"/>
          <w:tab w:val="left" w:pos="8550"/>
          <w:tab w:val="left" w:pos="8640"/>
        </w:tabs>
        <w:ind w:left="993"/>
        <w:jc w:val="both"/>
        <w:rPr>
          <w:sz w:val="24"/>
          <w:szCs w:val="24"/>
        </w:rPr>
      </w:pPr>
      <w:r w:rsidRPr="00F53DE8">
        <w:rPr>
          <w:sz w:val="24"/>
          <w:szCs w:val="24"/>
        </w:rPr>
        <w:t xml:space="preserve">An item recognized as </w:t>
      </w:r>
      <w:r w:rsidR="00A004D1">
        <w:rPr>
          <w:sz w:val="24"/>
          <w:szCs w:val="24"/>
        </w:rPr>
        <w:t>PPE</w:t>
      </w:r>
      <w:r w:rsidRPr="00F53DE8">
        <w:rPr>
          <w:sz w:val="24"/>
          <w:szCs w:val="24"/>
        </w:rPr>
        <w:t xml:space="preserve"> is measured at cost.</w:t>
      </w:r>
    </w:p>
    <w:p w:rsidR="004F0B4E" w:rsidRPr="00F53DE8" w:rsidRDefault="004F0B4E" w:rsidP="007B628D">
      <w:pPr>
        <w:tabs>
          <w:tab w:val="left" w:pos="720"/>
        </w:tabs>
        <w:ind w:left="993"/>
        <w:jc w:val="both"/>
        <w:rPr>
          <w:sz w:val="24"/>
          <w:szCs w:val="24"/>
        </w:rPr>
      </w:pPr>
    </w:p>
    <w:p w:rsidR="004F0B4E" w:rsidRPr="00F53DE8" w:rsidRDefault="004F0B4E" w:rsidP="007B628D">
      <w:pPr>
        <w:tabs>
          <w:tab w:val="left" w:pos="8370"/>
          <w:tab w:val="left" w:pos="8550"/>
          <w:tab w:val="left" w:pos="8640"/>
        </w:tabs>
        <w:ind w:left="993"/>
        <w:jc w:val="both"/>
        <w:rPr>
          <w:sz w:val="24"/>
          <w:szCs w:val="24"/>
        </w:rPr>
      </w:pPr>
      <w:r w:rsidRPr="00F53DE8">
        <w:rPr>
          <w:sz w:val="24"/>
          <w:szCs w:val="24"/>
        </w:rPr>
        <w:t>A PPE acquired through non-exchange transaction is measured at its fair value as at the date of acquisition.</w:t>
      </w:r>
    </w:p>
    <w:p w:rsidR="004F0B4E" w:rsidRPr="00F53DE8" w:rsidRDefault="004F0B4E" w:rsidP="007B628D">
      <w:pPr>
        <w:tabs>
          <w:tab w:val="left" w:pos="720"/>
        </w:tabs>
        <w:ind w:left="993"/>
        <w:jc w:val="both"/>
        <w:rPr>
          <w:sz w:val="24"/>
          <w:szCs w:val="24"/>
        </w:rPr>
      </w:pPr>
    </w:p>
    <w:p w:rsidR="004F0B4E" w:rsidRPr="00F53DE8" w:rsidRDefault="004F0B4E" w:rsidP="007B628D">
      <w:pPr>
        <w:tabs>
          <w:tab w:val="left" w:pos="8370"/>
          <w:tab w:val="left" w:pos="8550"/>
          <w:tab w:val="left" w:pos="8640"/>
        </w:tabs>
        <w:ind w:left="993"/>
        <w:jc w:val="both"/>
        <w:rPr>
          <w:sz w:val="24"/>
          <w:szCs w:val="24"/>
        </w:rPr>
      </w:pPr>
      <w:r w:rsidRPr="00F53DE8">
        <w:rPr>
          <w:sz w:val="24"/>
          <w:szCs w:val="24"/>
        </w:rPr>
        <w:t>The cost of the PPE is the cash price equivalent or, for PPE acquired through non-exchange transaction</w:t>
      </w:r>
      <w:r w:rsidR="007B628D">
        <w:rPr>
          <w:sz w:val="24"/>
          <w:szCs w:val="24"/>
        </w:rPr>
        <w:t>,</w:t>
      </w:r>
      <w:r w:rsidRPr="00F53DE8">
        <w:rPr>
          <w:sz w:val="24"/>
          <w:szCs w:val="24"/>
        </w:rPr>
        <w:t xml:space="preserve"> its cost is its fair value as at recognition date. </w:t>
      </w:r>
    </w:p>
    <w:p w:rsidR="0002391A" w:rsidRDefault="0002391A" w:rsidP="007B628D">
      <w:pPr>
        <w:tabs>
          <w:tab w:val="left" w:pos="900"/>
          <w:tab w:val="left" w:pos="8640"/>
        </w:tabs>
        <w:ind w:left="993"/>
        <w:jc w:val="both"/>
        <w:rPr>
          <w:sz w:val="24"/>
          <w:szCs w:val="24"/>
        </w:rPr>
      </w:pPr>
    </w:p>
    <w:p w:rsidR="004F0B4E" w:rsidRDefault="004F0B4E" w:rsidP="007B628D">
      <w:pPr>
        <w:tabs>
          <w:tab w:val="left" w:pos="8370"/>
          <w:tab w:val="left" w:pos="8550"/>
          <w:tab w:val="left" w:pos="8640"/>
        </w:tabs>
        <w:ind w:left="993"/>
        <w:jc w:val="both"/>
        <w:rPr>
          <w:sz w:val="24"/>
          <w:szCs w:val="24"/>
        </w:rPr>
      </w:pPr>
      <w:r>
        <w:rPr>
          <w:sz w:val="24"/>
          <w:szCs w:val="24"/>
        </w:rPr>
        <w:t>Cost includes the following:</w:t>
      </w:r>
    </w:p>
    <w:p w:rsidR="004F0B4E" w:rsidRDefault="004F0B4E" w:rsidP="007B628D">
      <w:pPr>
        <w:tabs>
          <w:tab w:val="left" w:pos="720"/>
          <w:tab w:val="left" w:pos="900"/>
        </w:tabs>
        <w:ind w:left="993"/>
        <w:jc w:val="both"/>
        <w:rPr>
          <w:sz w:val="24"/>
          <w:szCs w:val="24"/>
        </w:rPr>
      </w:pPr>
    </w:p>
    <w:p w:rsidR="004F0B4E" w:rsidRDefault="004F0B4E" w:rsidP="007B628D">
      <w:pPr>
        <w:pStyle w:val="ListParagraph"/>
        <w:numPr>
          <w:ilvl w:val="0"/>
          <w:numId w:val="8"/>
        </w:numPr>
        <w:tabs>
          <w:tab w:val="left" w:pos="8370"/>
          <w:tab w:val="left" w:pos="8640"/>
        </w:tabs>
        <w:ind w:left="1276" w:hanging="283"/>
        <w:jc w:val="both"/>
        <w:rPr>
          <w:sz w:val="24"/>
          <w:szCs w:val="24"/>
        </w:rPr>
      </w:pPr>
      <w:r>
        <w:rPr>
          <w:sz w:val="24"/>
          <w:szCs w:val="24"/>
        </w:rPr>
        <w:t>Its purchase price, including import duties and non-refundable purchase taxes, after deducting trade discounts and rebates</w:t>
      </w:r>
      <w:r w:rsidR="00FF2938">
        <w:rPr>
          <w:sz w:val="24"/>
          <w:szCs w:val="24"/>
        </w:rPr>
        <w:t>;</w:t>
      </w:r>
    </w:p>
    <w:p w:rsidR="004F0B4E" w:rsidRDefault="004F0B4E" w:rsidP="007B628D">
      <w:pPr>
        <w:ind w:left="1276" w:hanging="283"/>
        <w:jc w:val="both"/>
        <w:rPr>
          <w:sz w:val="24"/>
          <w:szCs w:val="24"/>
        </w:rPr>
      </w:pPr>
    </w:p>
    <w:p w:rsidR="004F0B4E" w:rsidRDefault="00955286" w:rsidP="007B628D">
      <w:pPr>
        <w:pStyle w:val="ListParagraph"/>
        <w:numPr>
          <w:ilvl w:val="0"/>
          <w:numId w:val="8"/>
        </w:numPr>
        <w:ind w:left="1276" w:hanging="283"/>
        <w:jc w:val="both"/>
        <w:rPr>
          <w:sz w:val="24"/>
          <w:szCs w:val="24"/>
        </w:rPr>
      </w:pPr>
      <w:r>
        <w:rPr>
          <w:sz w:val="24"/>
          <w:szCs w:val="24"/>
        </w:rPr>
        <w:t>E</w:t>
      </w:r>
      <w:r w:rsidR="004F0B4E">
        <w:rPr>
          <w:sz w:val="24"/>
          <w:szCs w:val="24"/>
        </w:rPr>
        <w:t>xpenditure that is directly attributable to the acquisition of the items; and</w:t>
      </w:r>
    </w:p>
    <w:p w:rsidR="001D2DEB" w:rsidRPr="001D2DEB" w:rsidRDefault="001D2DEB" w:rsidP="007B628D">
      <w:pPr>
        <w:ind w:left="1276" w:hanging="283"/>
        <w:jc w:val="both"/>
        <w:rPr>
          <w:sz w:val="24"/>
          <w:szCs w:val="24"/>
        </w:rPr>
      </w:pPr>
    </w:p>
    <w:p w:rsidR="004F0B4E" w:rsidRDefault="00955286" w:rsidP="007B628D">
      <w:pPr>
        <w:pStyle w:val="ListParagraph"/>
        <w:numPr>
          <w:ilvl w:val="0"/>
          <w:numId w:val="8"/>
        </w:numPr>
        <w:tabs>
          <w:tab w:val="left" w:pos="8640"/>
          <w:tab w:val="left" w:pos="8730"/>
        </w:tabs>
        <w:ind w:left="1276" w:hanging="283"/>
        <w:jc w:val="both"/>
        <w:rPr>
          <w:sz w:val="24"/>
          <w:szCs w:val="24"/>
        </w:rPr>
      </w:pPr>
      <w:r>
        <w:rPr>
          <w:sz w:val="24"/>
          <w:szCs w:val="24"/>
        </w:rPr>
        <w:t>I</w:t>
      </w:r>
      <w:r w:rsidR="004F0B4E">
        <w:rPr>
          <w:sz w:val="24"/>
          <w:szCs w:val="24"/>
        </w:rPr>
        <w:t xml:space="preserve">nitial estimate of the costs of dismantling and removing the item and restoring the site of which is located, the obligation for which an entity incurs either when the item is acquired, or as a consequence of having used the item during a particular period for purposes other than to produce inventories during that period. </w:t>
      </w:r>
    </w:p>
    <w:p w:rsidR="00621E01" w:rsidRDefault="00621E01" w:rsidP="00CB5E48">
      <w:pPr>
        <w:tabs>
          <w:tab w:val="left" w:pos="720"/>
        </w:tabs>
        <w:ind w:left="630"/>
        <w:jc w:val="both"/>
        <w:rPr>
          <w:b/>
          <w:i/>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Measurement after Recognition</w:t>
      </w:r>
    </w:p>
    <w:p w:rsidR="004F0B4E" w:rsidRPr="00F53DE8" w:rsidRDefault="004F0B4E" w:rsidP="00CB5E48">
      <w:pPr>
        <w:tabs>
          <w:tab w:val="left" w:pos="720"/>
        </w:tabs>
        <w:ind w:left="630"/>
        <w:jc w:val="both"/>
        <w:rPr>
          <w:sz w:val="24"/>
          <w:szCs w:val="24"/>
        </w:rPr>
      </w:pPr>
    </w:p>
    <w:p w:rsidR="004F0B4E" w:rsidRPr="00F53DE8" w:rsidRDefault="004F0B4E" w:rsidP="007B628D">
      <w:pPr>
        <w:tabs>
          <w:tab w:val="left" w:pos="8370"/>
          <w:tab w:val="left" w:pos="8550"/>
          <w:tab w:val="left" w:pos="8640"/>
        </w:tabs>
        <w:ind w:left="993"/>
        <w:jc w:val="both"/>
        <w:rPr>
          <w:sz w:val="24"/>
          <w:szCs w:val="24"/>
        </w:rPr>
      </w:pPr>
      <w:r w:rsidRPr="00F53DE8">
        <w:rPr>
          <w:sz w:val="24"/>
          <w:szCs w:val="24"/>
        </w:rPr>
        <w:t xml:space="preserve">After recognition, all </w:t>
      </w:r>
      <w:r w:rsidR="00A004D1" w:rsidRPr="00F53DE8">
        <w:rPr>
          <w:sz w:val="24"/>
          <w:szCs w:val="24"/>
        </w:rPr>
        <w:t xml:space="preserve">PPE </w:t>
      </w:r>
      <w:r w:rsidRPr="00F53DE8">
        <w:rPr>
          <w:sz w:val="24"/>
          <w:szCs w:val="24"/>
        </w:rPr>
        <w:t xml:space="preserve">are stated at cost less accumulated depreciation and impairment losses. </w:t>
      </w:r>
    </w:p>
    <w:p w:rsidR="007B628D" w:rsidRDefault="007B628D">
      <w:pPr>
        <w:rPr>
          <w:sz w:val="24"/>
          <w:szCs w:val="24"/>
        </w:rPr>
      </w:pPr>
      <w:r>
        <w:rPr>
          <w:sz w:val="24"/>
          <w:szCs w:val="24"/>
        </w:rPr>
        <w:br w:type="page"/>
      </w:r>
    </w:p>
    <w:p w:rsidR="004F0B4E" w:rsidRDefault="004F0B4E" w:rsidP="007B628D">
      <w:pPr>
        <w:tabs>
          <w:tab w:val="left" w:pos="8370"/>
          <w:tab w:val="left" w:pos="8550"/>
          <w:tab w:val="left" w:pos="8640"/>
        </w:tabs>
        <w:ind w:left="993"/>
        <w:jc w:val="both"/>
        <w:rPr>
          <w:sz w:val="24"/>
          <w:szCs w:val="24"/>
        </w:rPr>
      </w:pPr>
      <w:r w:rsidRPr="00F53DE8">
        <w:rPr>
          <w:sz w:val="24"/>
          <w:szCs w:val="24"/>
        </w:rPr>
        <w:lastRenderedPageBreak/>
        <w:t xml:space="preserve">When significant parts of </w:t>
      </w:r>
      <w:r w:rsidR="00A004D1" w:rsidRPr="00F53DE8">
        <w:rPr>
          <w:sz w:val="24"/>
          <w:szCs w:val="24"/>
        </w:rPr>
        <w:t xml:space="preserve">PPE </w:t>
      </w:r>
      <w:r w:rsidRPr="00F53DE8">
        <w:rPr>
          <w:sz w:val="24"/>
          <w:szCs w:val="24"/>
        </w:rPr>
        <w:t xml:space="preserve">are required to be replaced at intervals, </w:t>
      </w:r>
      <w:proofErr w:type="spellStart"/>
      <w:r w:rsidRPr="00F53DE8">
        <w:rPr>
          <w:sz w:val="24"/>
          <w:szCs w:val="24"/>
        </w:rPr>
        <w:t>P</w:t>
      </w:r>
      <w:r>
        <w:rPr>
          <w:sz w:val="24"/>
          <w:szCs w:val="24"/>
        </w:rPr>
        <w:t>hilSCA</w:t>
      </w:r>
      <w:proofErr w:type="spellEnd"/>
      <w:r w:rsidRPr="00F53DE8">
        <w:rPr>
          <w:sz w:val="24"/>
          <w:szCs w:val="24"/>
        </w:rPr>
        <w:t xml:space="preserve"> recognizes such parts as individual assets with specific useful lives and depreciates</w:t>
      </w:r>
      <w:r w:rsidR="007B628D">
        <w:rPr>
          <w:sz w:val="24"/>
          <w:szCs w:val="24"/>
        </w:rPr>
        <w:t xml:space="preserve"> </w:t>
      </w:r>
      <w:r w:rsidRPr="00F53DE8">
        <w:rPr>
          <w:sz w:val="24"/>
          <w:szCs w:val="24"/>
        </w:rPr>
        <w:t xml:space="preserve">them accordingly. Likewise, when a major repair/replacement is done, its cost is recognized in the carrying amount of the plant and equipment as a replacement if the recognition criteria are satisfied. </w:t>
      </w:r>
    </w:p>
    <w:p w:rsidR="004F0B4E" w:rsidRDefault="004F0B4E" w:rsidP="00CB5E48">
      <w:pPr>
        <w:tabs>
          <w:tab w:val="left" w:pos="720"/>
          <w:tab w:val="left" w:pos="8640"/>
        </w:tabs>
        <w:ind w:left="630"/>
        <w:jc w:val="both"/>
        <w:rPr>
          <w:sz w:val="24"/>
          <w:szCs w:val="24"/>
        </w:rPr>
      </w:pPr>
    </w:p>
    <w:p w:rsidR="004F0B4E" w:rsidRPr="003941E0" w:rsidRDefault="004F0B4E" w:rsidP="007B628D">
      <w:pPr>
        <w:tabs>
          <w:tab w:val="left" w:pos="8370"/>
          <w:tab w:val="left" w:pos="8550"/>
          <w:tab w:val="left" w:pos="8640"/>
        </w:tabs>
        <w:ind w:left="993"/>
        <w:jc w:val="both"/>
        <w:rPr>
          <w:sz w:val="24"/>
          <w:szCs w:val="24"/>
        </w:rPr>
      </w:pPr>
      <w:r w:rsidRPr="00F53DE8">
        <w:rPr>
          <w:sz w:val="24"/>
          <w:szCs w:val="24"/>
        </w:rPr>
        <w:t xml:space="preserve">All other repair and maintenance costs are recognized as expense in surplus or deficit as incurred. </w:t>
      </w:r>
    </w:p>
    <w:p w:rsidR="004F0B4E" w:rsidRDefault="004F0B4E" w:rsidP="00CB5E48">
      <w:pPr>
        <w:tabs>
          <w:tab w:val="left" w:pos="720"/>
        </w:tabs>
        <w:ind w:left="630"/>
        <w:jc w:val="both"/>
        <w:rPr>
          <w:b/>
          <w:i/>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Depreciation</w:t>
      </w:r>
    </w:p>
    <w:p w:rsidR="004F0B4E" w:rsidRPr="00F53DE8" w:rsidRDefault="004F0B4E" w:rsidP="007B628D">
      <w:pPr>
        <w:tabs>
          <w:tab w:val="left" w:pos="720"/>
        </w:tabs>
        <w:ind w:left="993"/>
        <w:jc w:val="both"/>
        <w:rPr>
          <w:sz w:val="24"/>
          <w:szCs w:val="24"/>
        </w:rPr>
      </w:pPr>
    </w:p>
    <w:p w:rsidR="004F0B4E" w:rsidRPr="00F53DE8" w:rsidRDefault="004F0B4E" w:rsidP="007B628D">
      <w:pPr>
        <w:tabs>
          <w:tab w:val="left" w:pos="8370"/>
          <w:tab w:val="left" w:pos="8550"/>
          <w:tab w:val="left" w:pos="8640"/>
        </w:tabs>
        <w:ind w:left="993"/>
        <w:jc w:val="both"/>
        <w:rPr>
          <w:sz w:val="24"/>
          <w:szCs w:val="24"/>
        </w:rPr>
      </w:pPr>
      <w:r w:rsidRPr="00F53DE8">
        <w:rPr>
          <w:sz w:val="24"/>
          <w:szCs w:val="24"/>
        </w:rPr>
        <w:t xml:space="preserve">Each part of an item of </w:t>
      </w:r>
      <w:r w:rsidR="00A004D1" w:rsidRPr="00F53DE8">
        <w:rPr>
          <w:sz w:val="24"/>
          <w:szCs w:val="24"/>
        </w:rPr>
        <w:t xml:space="preserve">PPE </w:t>
      </w:r>
      <w:r w:rsidRPr="00F53DE8">
        <w:rPr>
          <w:sz w:val="24"/>
          <w:szCs w:val="24"/>
        </w:rPr>
        <w:t>with a cost that is significant in relation to the total cost of the item is depreciated separately.</w:t>
      </w:r>
    </w:p>
    <w:p w:rsidR="004F0B4E" w:rsidRPr="00F53DE8" w:rsidRDefault="004F0B4E" w:rsidP="007B628D">
      <w:pPr>
        <w:tabs>
          <w:tab w:val="left" w:pos="720"/>
          <w:tab w:val="left" w:pos="8640"/>
          <w:tab w:val="left" w:pos="8730"/>
        </w:tabs>
        <w:ind w:left="993"/>
        <w:jc w:val="both"/>
        <w:rPr>
          <w:sz w:val="24"/>
          <w:szCs w:val="24"/>
        </w:rPr>
      </w:pPr>
    </w:p>
    <w:p w:rsidR="004F0B4E" w:rsidRDefault="004F0B4E" w:rsidP="007B628D">
      <w:pPr>
        <w:tabs>
          <w:tab w:val="left" w:pos="8370"/>
          <w:tab w:val="left" w:pos="8550"/>
          <w:tab w:val="left" w:pos="8640"/>
        </w:tabs>
        <w:ind w:left="993"/>
        <w:jc w:val="both"/>
        <w:rPr>
          <w:sz w:val="24"/>
          <w:szCs w:val="24"/>
        </w:rPr>
      </w:pPr>
      <w:r w:rsidRPr="00F53DE8">
        <w:rPr>
          <w:sz w:val="24"/>
          <w:szCs w:val="24"/>
        </w:rPr>
        <w:t>The depreciation charge for each period is recognized as expense unless it is included in the cost of another asset.</w:t>
      </w:r>
    </w:p>
    <w:p w:rsidR="004F0B4E" w:rsidRPr="00F53DE8" w:rsidRDefault="004F0B4E" w:rsidP="007B628D">
      <w:pPr>
        <w:tabs>
          <w:tab w:val="left" w:pos="720"/>
          <w:tab w:val="left" w:pos="8640"/>
        </w:tabs>
        <w:ind w:left="993"/>
        <w:jc w:val="both"/>
        <w:rPr>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Initial Recognition of Depreciation</w:t>
      </w:r>
    </w:p>
    <w:p w:rsidR="004F0B4E" w:rsidRPr="00F53DE8" w:rsidRDefault="004F0B4E" w:rsidP="007B628D">
      <w:pPr>
        <w:tabs>
          <w:tab w:val="left" w:pos="720"/>
          <w:tab w:val="left" w:pos="8640"/>
        </w:tabs>
        <w:ind w:left="993"/>
        <w:jc w:val="both"/>
        <w:rPr>
          <w:sz w:val="24"/>
          <w:szCs w:val="24"/>
        </w:rPr>
      </w:pPr>
    </w:p>
    <w:p w:rsidR="004F0B4E" w:rsidRDefault="004F0B4E" w:rsidP="007B628D">
      <w:pPr>
        <w:tabs>
          <w:tab w:val="left" w:pos="8370"/>
          <w:tab w:val="left" w:pos="8550"/>
          <w:tab w:val="left" w:pos="8640"/>
        </w:tabs>
        <w:ind w:left="993"/>
        <w:jc w:val="both"/>
        <w:rPr>
          <w:sz w:val="24"/>
          <w:szCs w:val="24"/>
        </w:rPr>
      </w:pPr>
      <w:r w:rsidRPr="00F53DE8">
        <w:rPr>
          <w:sz w:val="24"/>
          <w:szCs w:val="24"/>
        </w:rPr>
        <w:t>Depreciation of an asset begins when it is available for use such as when it is in the location and condition necessary for it to be capable of operating in the m</w:t>
      </w:r>
      <w:r w:rsidR="0002391A">
        <w:rPr>
          <w:sz w:val="24"/>
          <w:szCs w:val="24"/>
        </w:rPr>
        <w:t xml:space="preserve">anner intended by management.  </w:t>
      </w:r>
    </w:p>
    <w:p w:rsidR="00CF7669" w:rsidRPr="00F53DE8" w:rsidRDefault="00CF7669" w:rsidP="007B628D">
      <w:pPr>
        <w:tabs>
          <w:tab w:val="left" w:pos="720"/>
          <w:tab w:val="left" w:pos="8640"/>
        </w:tabs>
        <w:ind w:left="993"/>
        <w:jc w:val="both"/>
        <w:rPr>
          <w:sz w:val="24"/>
          <w:szCs w:val="24"/>
        </w:rPr>
      </w:pPr>
    </w:p>
    <w:p w:rsidR="00A814E2" w:rsidRPr="0002391A" w:rsidRDefault="004F0B4E" w:rsidP="007B628D">
      <w:pPr>
        <w:tabs>
          <w:tab w:val="left" w:pos="8370"/>
          <w:tab w:val="left" w:pos="8550"/>
          <w:tab w:val="left" w:pos="8640"/>
        </w:tabs>
        <w:ind w:left="993"/>
        <w:jc w:val="both"/>
        <w:rPr>
          <w:sz w:val="24"/>
          <w:szCs w:val="24"/>
        </w:rPr>
      </w:pPr>
      <w:r w:rsidRPr="00F53DE8">
        <w:rPr>
          <w:sz w:val="24"/>
          <w:szCs w:val="24"/>
        </w:rPr>
        <w:t>For simplicity and to avoid proportionate computation, the depreciation is for one month if the PPE is available for use on or before the 15</w:t>
      </w:r>
      <w:r w:rsidR="007B628D" w:rsidRPr="007B628D">
        <w:rPr>
          <w:sz w:val="24"/>
          <w:szCs w:val="24"/>
          <w:vertAlign w:val="superscript"/>
        </w:rPr>
        <w:t>th</w:t>
      </w:r>
      <w:r w:rsidR="007B628D">
        <w:rPr>
          <w:sz w:val="24"/>
          <w:szCs w:val="24"/>
        </w:rPr>
        <w:t xml:space="preserve"> </w:t>
      </w:r>
      <w:r w:rsidRPr="00F53DE8">
        <w:rPr>
          <w:sz w:val="24"/>
          <w:szCs w:val="24"/>
        </w:rPr>
        <w:t>of the month. However, if the PPE is available for use after the 15</w:t>
      </w:r>
      <w:r w:rsidR="007B628D" w:rsidRPr="007B628D">
        <w:rPr>
          <w:sz w:val="24"/>
          <w:szCs w:val="24"/>
          <w:vertAlign w:val="superscript"/>
        </w:rPr>
        <w:t>th</w:t>
      </w:r>
      <w:r w:rsidR="007B628D">
        <w:rPr>
          <w:sz w:val="24"/>
          <w:szCs w:val="24"/>
        </w:rPr>
        <w:t xml:space="preserve"> </w:t>
      </w:r>
      <w:r w:rsidRPr="00F53DE8">
        <w:rPr>
          <w:sz w:val="24"/>
          <w:szCs w:val="24"/>
        </w:rPr>
        <w:t>of the month, depreciation is for the succeeding month.</w:t>
      </w:r>
    </w:p>
    <w:p w:rsidR="0002391A" w:rsidRDefault="0002391A" w:rsidP="00CB5E48">
      <w:pPr>
        <w:tabs>
          <w:tab w:val="left" w:pos="720"/>
          <w:tab w:val="left" w:pos="8640"/>
        </w:tabs>
        <w:ind w:left="630"/>
        <w:jc w:val="both"/>
        <w:rPr>
          <w:b/>
          <w:i/>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Depreciation Method</w:t>
      </w:r>
    </w:p>
    <w:p w:rsidR="004F0B4E" w:rsidRPr="00F53DE8" w:rsidRDefault="004F0B4E" w:rsidP="007B628D">
      <w:pPr>
        <w:tabs>
          <w:tab w:val="left" w:pos="720"/>
          <w:tab w:val="left" w:pos="8640"/>
        </w:tabs>
        <w:ind w:left="993"/>
        <w:jc w:val="both"/>
        <w:rPr>
          <w:sz w:val="24"/>
          <w:szCs w:val="24"/>
        </w:rPr>
      </w:pPr>
    </w:p>
    <w:p w:rsidR="003941E0" w:rsidRPr="00475025" w:rsidRDefault="004F0B4E" w:rsidP="007B628D">
      <w:pPr>
        <w:tabs>
          <w:tab w:val="left" w:pos="8370"/>
          <w:tab w:val="left" w:pos="8550"/>
          <w:tab w:val="left" w:pos="8640"/>
        </w:tabs>
        <w:ind w:left="993"/>
        <w:jc w:val="both"/>
        <w:rPr>
          <w:sz w:val="24"/>
          <w:szCs w:val="24"/>
        </w:rPr>
      </w:pPr>
      <w:r w:rsidRPr="00F53DE8">
        <w:rPr>
          <w:sz w:val="24"/>
          <w:szCs w:val="24"/>
        </w:rPr>
        <w:t>The straight line method of depreciation shall be adopted unless another method is more appropriate for agency operation.</w:t>
      </w:r>
    </w:p>
    <w:p w:rsidR="00584DA7" w:rsidRDefault="00584DA7" w:rsidP="007B628D">
      <w:pPr>
        <w:tabs>
          <w:tab w:val="left" w:pos="720"/>
        </w:tabs>
        <w:ind w:left="993"/>
        <w:jc w:val="both"/>
        <w:rPr>
          <w:b/>
          <w:i/>
          <w:sz w:val="24"/>
          <w:szCs w:val="24"/>
        </w:rPr>
      </w:pPr>
    </w:p>
    <w:p w:rsidR="004F0B4E" w:rsidRPr="004F0B4E" w:rsidRDefault="004F0B4E" w:rsidP="007B628D">
      <w:pPr>
        <w:tabs>
          <w:tab w:val="left" w:pos="8370"/>
          <w:tab w:val="left" w:pos="8550"/>
          <w:tab w:val="left" w:pos="8640"/>
        </w:tabs>
        <w:ind w:left="993"/>
        <w:jc w:val="both"/>
        <w:rPr>
          <w:b/>
          <w:i/>
          <w:sz w:val="24"/>
          <w:szCs w:val="24"/>
        </w:rPr>
      </w:pPr>
      <w:r w:rsidRPr="004F0B4E">
        <w:rPr>
          <w:b/>
          <w:i/>
          <w:sz w:val="24"/>
          <w:szCs w:val="24"/>
        </w:rPr>
        <w:t>Estimated Useful Life</w:t>
      </w:r>
    </w:p>
    <w:p w:rsidR="004F0B4E" w:rsidRPr="00F53DE8" w:rsidRDefault="004F0B4E" w:rsidP="007B628D">
      <w:pPr>
        <w:tabs>
          <w:tab w:val="left" w:pos="720"/>
        </w:tabs>
        <w:ind w:left="993"/>
        <w:jc w:val="both"/>
        <w:rPr>
          <w:sz w:val="24"/>
          <w:szCs w:val="24"/>
        </w:rPr>
      </w:pPr>
    </w:p>
    <w:p w:rsidR="004F0B4E" w:rsidRPr="00F53DE8" w:rsidRDefault="00A9581C" w:rsidP="007B628D">
      <w:pPr>
        <w:tabs>
          <w:tab w:val="left" w:pos="8370"/>
          <w:tab w:val="left" w:pos="8550"/>
          <w:tab w:val="left" w:pos="8640"/>
        </w:tabs>
        <w:ind w:left="993"/>
        <w:jc w:val="both"/>
        <w:rPr>
          <w:sz w:val="24"/>
          <w:szCs w:val="24"/>
        </w:rPr>
      </w:pPr>
      <w:r>
        <w:rPr>
          <w:sz w:val="24"/>
          <w:szCs w:val="24"/>
        </w:rPr>
        <w:t xml:space="preserve">The </w:t>
      </w:r>
      <w:proofErr w:type="spellStart"/>
      <w:r w:rsidR="004F0B4E" w:rsidRPr="00F53DE8">
        <w:rPr>
          <w:sz w:val="24"/>
          <w:szCs w:val="24"/>
        </w:rPr>
        <w:t>P</w:t>
      </w:r>
      <w:r w:rsidR="004F0B4E">
        <w:rPr>
          <w:sz w:val="24"/>
          <w:szCs w:val="24"/>
        </w:rPr>
        <w:t>hilSCA</w:t>
      </w:r>
      <w:proofErr w:type="spellEnd"/>
      <w:r w:rsidR="004F0B4E" w:rsidRPr="00F53DE8">
        <w:rPr>
          <w:sz w:val="24"/>
          <w:szCs w:val="24"/>
        </w:rPr>
        <w:t xml:space="preserve"> uses the Schedule on the Estimated Useful Life of PPE by classification prepared by COA.</w:t>
      </w:r>
    </w:p>
    <w:p w:rsidR="004F0B4E" w:rsidRPr="00F53DE8" w:rsidRDefault="004F0B4E" w:rsidP="00CB5E48">
      <w:pPr>
        <w:tabs>
          <w:tab w:val="left" w:pos="720"/>
          <w:tab w:val="left" w:pos="8640"/>
        </w:tabs>
        <w:ind w:left="630"/>
        <w:jc w:val="both"/>
        <w:rPr>
          <w:sz w:val="24"/>
          <w:szCs w:val="24"/>
        </w:rPr>
      </w:pPr>
    </w:p>
    <w:p w:rsidR="008D6A91" w:rsidRDefault="004F0B4E" w:rsidP="007B628D">
      <w:pPr>
        <w:tabs>
          <w:tab w:val="left" w:pos="8370"/>
          <w:tab w:val="left" w:pos="8550"/>
          <w:tab w:val="left" w:pos="8640"/>
        </w:tabs>
        <w:ind w:left="993"/>
        <w:jc w:val="both"/>
        <w:rPr>
          <w:sz w:val="24"/>
          <w:szCs w:val="24"/>
        </w:rPr>
      </w:pPr>
      <w:r w:rsidRPr="00F53DE8">
        <w:rPr>
          <w:sz w:val="24"/>
          <w:szCs w:val="24"/>
        </w:rPr>
        <w:t>It uses a residual value equivalen</w:t>
      </w:r>
      <w:r w:rsidR="00A9581C">
        <w:rPr>
          <w:sz w:val="24"/>
          <w:szCs w:val="24"/>
        </w:rPr>
        <w:t xml:space="preserve">t to at least five percent </w:t>
      </w:r>
      <w:r w:rsidRPr="00F53DE8">
        <w:rPr>
          <w:sz w:val="24"/>
          <w:szCs w:val="24"/>
        </w:rPr>
        <w:t>of the cost of the PPE.</w:t>
      </w:r>
    </w:p>
    <w:p w:rsidR="00AF13AC" w:rsidRPr="008D6A91" w:rsidRDefault="00AF13AC" w:rsidP="00CB5E48">
      <w:pPr>
        <w:tabs>
          <w:tab w:val="left" w:pos="720"/>
          <w:tab w:val="left" w:pos="8640"/>
        </w:tabs>
        <w:ind w:left="630"/>
        <w:jc w:val="both"/>
        <w:rPr>
          <w:sz w:val="24"/>
          <w:szCs w:val="24"/>
        </w:rPr>
      </w:pPr>
    </w:p>
    <w:p w:rsidR="005C62BD" w:rsidRDefault="005C62BD" w:rsidP="007B628D">
      <w:pPr>
        <w:tabs>
          <w:tab w:val="left" w:pos="8370"/>
          <w:tab w:val="left" w:pos="8550"/>
          <w:tab w:val="left" w:pos="8640"/>
        </w:tabs>
        <w:ind w:left="993"/>
        <w:jc w:val="both"/>
        <w:rPr>
          <w:b/>
          <w:i/>
          <w:sz w:val="24"/>
          <w:szCs w:val="24"/>
        </w:rPr>
      </w:pPr>
      <w:r w:rsidRPr="005C62BD">
        <w:rPr>
          <w:b/>
          <w:i/>
          <w:sz w:val="24"/>
          <w:szCs w:val="24"/>
        </w:rPr>
        <w:t xml:space="preserve">Impairment </w:t>
      </w:r>
    </w:p>
    <w:p w:rsidR="008D6A91" w:rsidRPr="008D6A91" w:rsidRDefault="008D6A91" w:rsidP="007B628D">
      <w:pPr>
        <w:tabs>
          <w:tab w:val="left" w:pos="720"/>
        </w:tabs>
        <w:ind w:left="993"/>
        <w:jc w:val="both"/>
        <w:rPr>
          <w:b/>
          <w:i/>
          <w:sz w:val="24"/>
          <w:szCs w:val="24"/>
        </w:rPr>
      </w:pPr>
    </w:p>
    <w:p w:rsidR="00D6455A" w:rsidRPr="008D6A91" w:rsidRDefault="005C62BD" w:rsidP="007B628D">
      <w:pPr>
        <w:tabs>
          <w:tab w:val="left" w:pos="8370"/>
          <w:tab w:val="left" w:pos="8550"/>
          <w:tab w:val="left" w:pos="8640"/>
        </w:tabs>
        <w:ind w:left="993"/>
        <w:jc w:val="both"/>
        <w:rPr>
          <w:sz w:val="24"/>
          <w:szCs w:val="24"/>
        </w:rPr>
      </w:pPr>
      <w:r w:rsidRPr="00F53DE8">
        <w:rPr>
          <w:sz w:val="24"/>
          <w:szCs w:val="24"/>
        </w:rPr>
        <w:t>An asset’s carrying amount is written down to its recoverable amount, or recoverable service amount, if the asset’s carrying amount is greater than its estimated recoverable service amount.</w:t>
      </w:r>
    </w:p>
    <w:p w:rsidR="007B628D" w:rsidRDefault="007B628D">
      <w:pPr>
        <w:rPr>
          <w:b/>
          <w:i/>
          <w:sz w:val="24"/>
          <w:szCs w:val="24"/>
        </w:rPr>
      </w:pPr>
      <w:r>
        <w:rPr>
          <w:b/>
          <w:i/>
          <w:sz w:val="24"/>
          <w:szCs w:val="24"/>
        </w:rPr>
        <w:br w:type="page"/>
      </w:r>
    </w:p>
    <w:p w:rsidR="005C62BD" w:rsidRDefault="005C62BD" w:rsidP="007B628D">
      <w:pPr>
        <w:tabs>
          <w:tab w:val="left" w:pos="8370"/>
          <w:tab w:val="left" w:pos="8550"/>
          <w:tab w:val="left" w:pos="8640"/>
        </w:tabs>
        <w:ind w:left="993"/>
        <w:jc w:val="both"/>
        <w:rPr>
          <w:b/>
          <w:i/>
          <w:sz w:val="24"/>
          <w:szCs w:val="24"/>
        </w:rPr>
      </w:pPr>
      <w:proofErr w:type="spellStart"/>
      <w:r>
        <w:rPr>
          <w:b/>
          <w:i/>
          <w:sz w:val="24"/>
          <w:szCs w:val="24"/>
        </w:rPr>
        <w:lastRenderedPageBreak/>
        <w:t>Derecognition</w:t>
      </w:r>
      <w:proofErr w:type="spellEnd"/>
    </w:p>
    <w:p w:rsidR="005C62BD" w:rsidRDefault="005C62BD" w:rsidP="00CB5E48">
      <w:pPr>
        <w:tabs>
          <w:tab w:val="left" w:pos="720"/>
        </w:tabs>
        <w:ind w:left="630"/>
        <w:jc w:val="both"/>
        <w:rPr>
          <w:b/>
          <w:i/>
          <w:sz w:val="24"/>
          <w:szCs w:val="24"/>
        </w:rPr>
      </w:pPr>
    </w:p>
    <w:p w:rsidR="005C62BD" w:rsidRDefault="00A9581C" w:rsidP="007B628D">
      <w:pPr>
        <w:tabs>
          <w:tab w:val="left" w:pos="8370"/>
          <w:tab w:val="left" w:pos="8550"/>
          <w:tab w:val="left" w:pos="8640"/>
        </w:tabs>
        <w:ind w:left="993"/>
        <w:jc w:val="both"/>
        <w:rPr>
          <w:sz w:val="24"/>
          <w:szCs w:val="24"/>
        </w:rPr>
      </w:pPr>
      <w:r>
        <w:rPr>
          <w:sz w:val="24"/>
          <w:szCs w:val="24"/>
        </w:rPr>
        <w:t xml:space="preserve">The </w:t>
      </w:r>
      <w:proofErr w:type="spellStart"/>
      <w:r w:rsidR="005C62BD">
        <w:rPr>
          <w:sz w:val="24"/>
          <w:szCs w:val="24"/>
        </w:rPr>
        <w:t>PhilSCA</w:t>
      </w:r>
      <w:proofErr w:type="spellEnd"/>
      <w:r w:rsidR="005C62BD">
        <w:rPr>
          <w:sz w:val="24"/>
          <w:szCs w:val="24"/>
        </w:rPr>
        <w:t xml:space="preserve"> derecognizes items of property, plant and equipment and/or any significant part of an asset upon disposal or when no future economic benefits or service potential is expected from its continuing use. Any gain or loss arising on </w:t>
      </w:r>
      <w:proofErr w:type="spellStart"/>
      <w:r w:rsidR="005C62BD">
        <w:rPr>
          <w:sz w:val="24"/>
          <w:szCs w:val="24"/>
        </w:rPr>
        <w:t>derecognition</w:t>
      </w:r>
      <w:proofErr w:type="spellEnd"/>
      <w:r w:rsidR="005C62BD">
        <w:rPr>
          <w:sz w:val="24"/>
          <w:szCs w:val="24"/>
        </w:rPr>
        <w:t xml:space="preserve"> of the asset (calculated as the difference between the net disposal proceeds and the carrying amount of the asset) is included in the surplus or deficit when the asset is derecognized.</w:t>
      </w:r>
    </w:p>
    <w:p w:rsidR="00792C8F" w:rsidRDefault="00792C8F" w:rsidP="007B628D">
      <w:pPr>
        <w:tabs>
          <w:tab w:val="left" w:pos="720"/>
          <w:tab w:val="left" w:pos="8640"/>
        </w:tabs>
        <w:ind w:left="993"/>
        <w:jc w:val="both"/>
        <w:rPr>
          <w:sz w:val="24"/>
          <w:szCs w:val="24"/>
        </w:rPr>
      </w:pPr>
    </w:p>
    <w:p w:rsidR="0090399D" w:rsidRDefault="0090399D" w:rsidP="007B628D">
      <w:pPr>
        <w:pStyle w:val="BodyTextIndent"/>
        <w:numPr>
          <w:ilvl w:val="1"/>
          <w:numId w:val="18"/>
        </w:numPr>
        <w:ind w:left="993" w:hanging="567"/>
        <w:rPr>
          <w:b/>
          <w:szCs w:val="24"/>
        </w:rPr>
      </w:pPr>
      <w:r>
        <w:rPr>
          <w:b/>
          <w:szCs w:val="24"/>
        </w:rPr>
        <w:t xml:space="preserve">Operating Leases </w:t>
      </w:r>
    </w:p>
    <w:p w:rsidR="009D3AA4" w:rsidRDefault="009D3AA4" w:rsidP="00A004D1">
      <w:pPr>
        <w:tabs>
          <w:tab w:val="left" w:pos="720"/>
          <w:tab w:val="left" w:pos="8640"/>
        </w:tabs>
        <w:ind w:left="270"/>
        <w:jc w:val="both"/>
        <w:rPr>
          <w:b/>
          <w:sz w:val="24"/>
          <w:szCs w:val="24"/>
        </w:rPr>
      </w:pPr>
    </w:p>
    <w:p w:rsidR="009D3AA4" w:rsidRDefault="009D3AA4" w:rsidP="007B628D">
      <w:pPr>
        <w:tabs>
          <w:tab w:val="left" w:pos="8370"/>
          <w:tab w:val="left" w:pos="8550"/>
          <w:tab w:val="left" w:pos="8640"/>
        </w:tabs>
        <w:ind w:left="993"/>
        <w:jc w:val="both"/>
      </w:pPr>
      <w:r>
        <w:rPr>
          <w:sz w:val="24"/>
          <w:szCs w:val="24"/>
        </w:rPr>
        <w:t xml:space="preserve">Leases in which the </w:t>
      </w:r>
      <w:proofErr w:type="spellStart"/>
      <w:r>
        <w:rPr>
          <w:sz w:val="24"/>
          <w:szCs w:val="24"/>
        </w:rPr>
        <w:t>PhilSCA</w:t>
      </w:r>
      <w:proofErr w:type="spellEnd"/>
      <w:r>
        <w:rPr>
          <w:sz w:val="24"/>
          <w:szCs w:val="24"/>
        </w:rPr>
        <w:t xml:space="preserve"> does not transfer substantially all the risks and benefits of ownership of an asset are classified as operating leases.</w:t>
      </w:r>
    </w:p>
    <w:p w:rsidR="009D3AA4" w:rsidRDefault="009D3AA4" w:rsidP="007B628D">
      <w:pPr>
        <w:tabs>
          <w:tab w:val="left" w:pos="720"/>
          <w:tab w:val="left" w:pos="8640"/>
          <w:tab w:val="left" w:pos="8820"/>
        </w:tabs>
        <w:ind w:left="993"/>
        <w:jc w:val="both"/>
      </w:pPr>
    </w:p>
    <w:p w:rsidR="009D3AA4" w:rsidRDefault="009D3AA4" w:rsidP="007B628D">
      <w:pPr>
        <w:tabs>
          <w:tab w:val="left" w:pos="8370"/>
          <w:tab w:val="left" w:pos="8550"/>
          <w:tab w:val="left" w:pos="8640"/>
        </w:tabs>
        <w:ind w:left="993"/>
        <w:jc w:val="both"/>
        <w:rPr>
          <w:sz w:val="24"/>
          <w:szCs w:val="24"/>
        </w:rPr>
      </w:pPr>
      <w:r>
        <w:rPr>
          <w:sz w:val="24"/>
          <w:szCs w:val="24"/>
        </w:rPr>
        <w:t>Initial direct costs incurred in negotiating an operating lease are added to the carrying amount of the leased asset and recognized over the lease term.</w:t>
      </w:r>
    </w:p>
    <w:p w:rsidR="009D3AA4" w:rsidRDefault="009D3AA4" w:rsidP="007B628D">
      <w:pPr>
        <w:tabs>
          <w:tab w:val="left" w:pos="720"/>
          <w:tab w:val="left" w:pos="8640"/>
          <w:tab w:val="left" w:pos="8820"/>
        </w:tabs>
        <w:ind w:left="993"/>
        <w:jc w:val="both"/>
        <w:rPr>
          <w:sz w:val="24"/>
          <w:szCs w:val="24"/>
        </w:rPr>
      </w:pPr>
    </w:p>
    <w:p w:rsidR="009D3AA4" w:rsidRDefault="009D3AA4" w:rsidP="007B628D">
      <w:pPr>
        <w:tabs>
          <w:tab w:val="left" w:pos="8370"/>
          <w:tab w:val="left" w:pos="8550"/>
          <w:tab w:val="left" w:pos="8640"/>
        </w:tabs>
        <w:ind w:left="993"/>
        <w:jc w:val="both"/>
        <w:rPr>
          <w:sz w:val="24"/>
          <w:szCs w:val="24"/>
        </w:rPr>
      </w:pPr>
      <w:r>
        <w:rPr>
          <w:sz w:val="24"/>
          <w:szCs w:val="24"/>
        </w:rPr>
        <w:t>Rent received from an operating lease is recognized as income on a straight-line basis over the lease term. Contingent rents are recognized as revenue in the period in which they are earned.</w:t>
      </w:r>
    </w:p>
    <w:p w:rsidR="009D3AA4" w:rsidRDefault="009D3AA4" w:rsidP="007B628D">
      <w:pPr>
        <w:tabs>
          <w:tab w:val="left" w:pos="720"/>
          <w:tab w:val="left" w:pos="8640"/>
          <w:tab w:val="left" w:pos="8820"/>
        </w:tabs>
        <w:ind w:left="993"/>
        <w:jc w:val="both"/>
        <w:rPr>
          <w:sz w:val="24"/>
          <w:szCs w:val="24"/>
        </w:rPr>
      </w:pPr>
    </w:p>
    <w:p w:rsidR="009D3AA4" w:rsidRPr="009D3AA4" w:rsidRDefault="009D3AA4" w:rsidP="007B628D">
      <w:pPr>
        <w:tabs>
          <w:tab w:val="left" w:pos="8370"/>
          <w:tab w:val="left" w:pos="8550"/>
          <w:tab w:val="left" w:pos="8640"/>
        </w:tabs>
        <w:ind w:left="993"/>
        <w:jc w:val="both"/>
        <w:rPr>
          <w:sz w:val="24"/>
          <w:szCs w:val="24"/>
        </w:rPr>
      </w:pPr>
      <w:r>
        <w:rPr>
          <w:sz w:val="24"/>
          <w:szCs w:val="24"/>
        </w:rPr>
        <w:t xml:space="preserve">The depreciation </w:t>
      </w:r>
      <w:r w:rsidR="004160B3">
        <w:rPr>
          <w:sz w:val="24"/>
          <w:szCs w:val="24"/>
        </w:rPr>
        <w:t>policies for PPE are</w:t>
      </w:r>
      <w:r w:rsidR="00815065">
        <w:rPr>
          <w:sz w:val="24"/>
          <w:szCs w:val="24"/>
        </w:rPr>
        <w:t xml:space="preserve"> applied to similar assets leased by the entity.</w:t>
      </w:r>
    </w:p>
    <w:p w:rsidR="0002391A" w:rsidRPr="0090399D" w:rsidRDefault="0002391A" w:rsidP="00A004D1">
      <w:pPr>
        <w:tabs>
          <w:tab w:val="left" w:pos="720"/>
          <w:tab w:val="left" w:pos="8640"/>
        </w:tabs>
        <w:ind w:left="270"/>
        <w:jc w:val="both"/>
        <w:rPr>
          <w:b/>
          <w:sz w:val="24"/>
          <w:szCs w:val="24"/>
        </w:rPr>
      </w:pPr>
    </w:p>
    <w:p w:rsidR="005C62BD" w:rsidRDefault="003B64FF" w:rsidP="007B628D">
      <w:pPr>
        <w:pStyle w:val="BodyTextIndent"/>
        <w:numPr>
          <w:ilvl w:val="1"/>
          <w:numId w:val="18"/>
        </w:numPr>
        <w:ind w:left="993" w:hanging="567"/>
        <w:rPr>
          <w:b/>
          <w:szCs w:val="24"/>
        </w:rPr>
      </w:pPr>
      <w:r>
        <w:rPr>
          <w:b/>
          <w:szCs w:val="24"/>
        </w:rPr>
        <w:t>Changes in accounting policies and estimates</w:t>
      </w:r>
    </w:p>
    <w:p w:rsidR="003B64FF" w:rsidRDefault="003B64FF" w:rsidP="00A004D1">
      <w:pPr>
        <w:tabs>
          <w:tab w:val="left" w:pos="360"/>
          <w:tab w:val="left" w:pos="720"/>
          <w:tab w:val="left" w:pos="8640"/>
        </w:tabs>
        <w:ind w:left="270"/>
        <w:jc w:val="both"/>
        <w:rPr>
          <w:b/>
          <w:sz w:val="24"/>
          <w:szCs w:val="24"/>
        </w:rPr>
      </w:pPr>
    </w:p>
    <w:p w:rsidR="003B64FF" w:rsidRPr="0002391A" w:rsidRDefault="008C3F2C" w:rsidP="007B628D">
      <w:pPr>
        <w:tabs>
          <w:tab w:val="left" w:pos="8370"/>
          <w:tab w:val="left" w:pos="8550"/>
          <w:tab w:val="left" w:pos="8640"/>
        </w:tabs>
        <w:ind w:left="993"/>
        <w:jc w:val="both"/>
        <w:rPr>
          <w:sz w:val="24"/>
          <w:szCs w:val="24"/>
        </w:rPr>
      </w:pPr>
      <w:r w:rsidRPr="0002391A">
        <w:rPr>
          <w:sz w:val="24"/>
          <w:szCs w:val="24"/>
        </w:rPr>
        <w:t xml:space="preserve">The </w:t>
      </w:r>
      <w:proofErr w:type="spellStart"/>
      <w:r w:rsidR="003B64FF" w:rsidRPr="0002391A">
        <w:rPr>
          <w:sz w:val="24"/>
          <w:szCs w:val="24"/>
        </w:rPr>
        <w:t>PhilSCA</w:t>
      </w:r>
      <w:proofErr w:type="spellEnd"/>
      <w:r w:rsidR="003B64FF" w:rsidRPr="0002391A">
        <w:rPr>
          <w:sz w:val="24"/>
          <w:szCs w:val="24"/>
        </w:rPr>
        <w:t xml:space="preserve"> recognizes the effects of changes in accounting policy retrospectively. The effects of changes in accounting policy are applied prospectively</w:t>
      </w:r>
      <w:r w:rsidR="007B628D">
        <w:rPr>
          <w:sz w:val="24"/>
          <w:szCs w:val="24"/>
        </w:rPr>
        <w:t xml:space="preserve"> </w:t>
      </w:r>
      <w:r w:rsidR="003B64FF" w:rsidRPr="0002391A">
        <w:rPr>
          <w:sz w:val="24"/>
          <w:szCs w:val="24"/>
        </w:rPr>
        <w:t xml:space="preserve">if retrospective application is impractical. </w:t>
      </w:r>
    </w:p>
    <w:p w:rsidR="003B64FF" w:rsidRDefault="003B64FF" w:rsidP="00CB5E48">
      <w:pPr>
        <w:tabs>
          <w:tab w:val="left" w:pos="360"/>
          <w:tab w:val="left" w:pos="720"/>
        </w:tabs>
        <w:ind w:left="630"/>
        <w:jc w:val="both"/>
        <w:rPr>
          <w:b/>
          <w:sz w:val="24"/>
          <w:szCs w:val="24"/>
        </w:rPr>
      </w:pPr>
    </w:p>
    <w:p w:rsidR="003B64FF" w:rsidRDefault="003B64FF" w:rsidP="00536251">
      <w:pPr>
        <w:tabs>
          <w:tab w:val="left" w:pos="8370"/>
          <w:tab w:val="left" w:pos="8550"/>
          <w:tab w:val="left" w:pos="8640"/>
        </w:tabs>
        <w:ind w:left="993"/>
        <w:jc w:val="both"/>
        <w:rPr>
          <w:sz w:val="24"/>
          <w:szCs w:val="24"/>
        </w:rPr>
      </w:pPr>
      <w:r>
        <w:rPr>
          <w:sz w:val="24"/>
          <w:szCs w:val="24"/>
        </w:rPr>
        <w:t xml:space="preserve">It recognizes the effects of changes in accounting estimates prospectively by </w:t>
      </w:r>
      <w:r w:rsidR="00C25D32">
        <w:rPr>
          <w:sz w:val="24"/>
          <w:szCs w:val="24"/>
        </w:rPr>
        <w:t>treating such as</w:t>
      </w:r>
      <w:r>
        <w:rPr>
          <w:sz w:val="24"/>
          <w:szCs w:val="24"/>
        </w:rPr>
        <w:t xml:space="preserve"> surplus or deficit.</w:t>
      </w:r>
    </w:p>
    <w:p w:rsidR="00144F5A" w:rsidRDefault="00C25D32" w:rsidP="00C25D32">
      <w:pPr>
        <w:tabs>
          <w:tab w:val="left" w:pos="360"/>
          <w:tab w:val="left" w:pos="1410"/>
        </w:tabs>
        <w:ind w:left="270"/>
        <w:jc w:val="both"/>
        <w:rPr>
          <w:sz w:val="24"/>
          <w:szCs w:val="24"/>
        </w:rPr>
      </w:pPr>
      <w:r>
        <w:rPr>
          <w:sz w:val="24"/>
          <w:szCs w:val="24"/>
        </w:rPr>
        <w:tab/>
      </w:r>
    </w:p>
    <w:p w:rsidR="00F125D3" w:rsidRDefault="00F125D3" w:rsidP="00536251">
      <w:pPr>
        <w:pStyle w:val="BodyTextIndent"/>
        <w:numPr>
          <w:ilvl w:val="1"/>
          <w:numId w:val="18"/>
        </w:numPr>
        <w:ind w:left="993" w:hanging="567"/>
        <w:rPr>
          <w:b/>
        </w:rPr>
      </w:pPr>
      <w:r w:rsidRPr="00BE7854">
        <w:rPr>
          <w:b/>
        </w:rPr>
        <w:t xml:space="preserve">Revenue from </w:t>
      </w:r>
      <w:r>
        <w:rPr>
          <w:b/>
        </w:rPr>
        <w:t>non-exchange transactions</w:t>
      </w:r>
    </w:p>
    <w:p w:rsidR="00F125D3" w:rsidRDefault="00F125D3" w:rsidP="00A004D1">
      <w:pPr>
        <w:pStyle w:val="BodyTextIndent"/>
        <w:ind w:left="270" w:firstLine="0"/>
        <w:rPr>
          <w:b/>
        </w:rPr>
      </w:pPr>
    </w:p>
    <w:p w:rsidR="00F125D3" w:rsidRPr="0002391A" w:rsidRDefault="00F125D3" w:rsidP="00536251">
      <w:pPr>
        <w:tabs>
          <w:tab w:val="left" w:pos="8370"/>
          <w:tab w:val="left" w:pos="8550"/>
          <w:tab w:val="left" w:pos="8640"/>
        </w:tabs>
        <w:ind w:left="993"/>
        <w:jc w:val="both"/>
        <w:rPr>
          <w:b/>
          <w:i/>
          <w:sz w:val="24"/>
          <w:szCs w:val="24"/>
        </w:rPr>
      </w:pPr>
      <w:r w:rsidRPr="0002391A">
        <w:rPr>
          <w:b/>
          <w:i/>
          <w:sz w:val="24"/>
          <w:szCs w:val="24"/>
        </w:rPr>
        <w:t>Recognition and Measurement of Assets from Non-Exchange Transactions</w:t>
      </w:r>
    </w:p>
    <w:p w:rsidR="00F125D3" w:rsidRPr="0002391A" w:rsidRDefault="00F125D3" w:rsidP="00CB5E48">
      <w:pPr>
        <w:pStyle w:val="BodyTextIndent"/>
        <w:tabs>
          <w:tab w:val="left" w:pos="8640"/>
        </w:tabs>
        <w:ind w:left="630" w:firstLine="0"/>
        <w:rPr>
          <w:b/>
          <w:i/>
          <w:szCs w:val="24"/>
        </w:rPr>
      </w:pPr>
    </w:p>
    <w:p w:rsidR="00F125D3" w:rsidRPr="0002391A" w:rsidRDefault="00F125D3" w:rsidP="00536251">
      <w:pPr>
        <w:tabs>
          <w:tab w:val="left" w:pos="8370"/>
          <w:tab w:val="left" w:pos="8550"/>
          <w:tab w:val="left" w:pos="8640"/>
        </w:tabs>
        <w:ind w:left="993"/>
        <w:jc w:val="both"/>
        <w:rPr>
          <w:sz w:val="24"/>
          <w:szCs w:val="24"/>
        </w:rPr>
      </w:pPr>
      <w:r w:rsidRPr="0002391A">
        <w:rPr>
          <w:sz w:val="24"/>
          <w:szCs w:val="24"/>
        </w:rPr>
        <w:t>An inflow of resources from a non-exchange transaction, other than services in-kind, that meets the definition of an asset were recognized as an asset if the following criteria were met:</w:t>
      </w:r>
    </w:p>
    <w:p w:rsidR="00F125D3" w:rsidRPr="0002391A" w:rsidRDefault="00F125D3" w:rsidP="0002391A">
      <w:pPr>
        <w:pStyle w:val="BodyTextIndent"/>
        <w:ind w:left="1080" w:hanging="180"/>
        <w:rPr>
          <w:szCs w:val="24"/>
        </w:rPr>
      </w:pPr>
    </w:p>
    <w:p w:rsidR="00F125D3" w:rsidRPr="0002391A" w:rsidRDefault="00F125D3" w:rsidP="00536251">
      <w:pPr>
        <w:pStyle w:val="BodyTextIndent"/>
        <w:numPr>
          <w:ilvl w:val="0"/>
          <w:numId w:val="17"/>
        </w:numPr>
        <w:ind w:left="1276" w:hanging="283"/>
        <w:rPr>
          <w:szCs w:val="24"/>
        </w:rPr>
      </w:pPr>
      <w:r w:rsidRPr="0002391A">
        <w:rPr>
          <w:szCs w:val="24"/>
        </w:rPr>
        <w:t>It is probable that the future economic benefits or service potential associated with the asset will flow to the entity; and</w:t>
      </w:r>
    </w:p>
    <w:p w:rsidR="00F125D3" w:rsidRPr="0002391A" w:rsidRDefault="00F125D3" w:rsidP="00536251">
      <w:pPr>
        <w:pStyle w:val="BodyTextIndent"/>
        <w:ind w:left="1276" w:hanging="283"/>
        <w:rPr>
          <w:szCs w:val="24"/>
        </w:rPr>
      </w:pPr>
    </w:p>
    <w:p w:rsidR="00F125D3" w:rsidRPr="0002391A" w:rsidRDefault="00F125D3" w:rsidP="00536251">
      <w:pPr>
        <w:pStyle w:val="BodyTextIndent"/>
        <w:numPr>
          <w:ilvl w:val="0"/>
          <w:numId w:val="17"/>
        </w:numPr>
        <w:ind w:left="1276" w:hanging="283"/>
        <w:rPr>
          <w:szCs w:val="24"/>
        </w:rPr>
      </w:pPr>
      <w:r w:rsidRPr="0002391A">
        <w:rPr>
          <w:szCs w:val="24"/>
        </w:rPr>
        <w:t>The fair value of the asset can be measured reliably.</w:t>
      </w:r>
    </w:p>
    <w:p w:rsidR="00536251" w:rsidRDefault="00536251">
      <w:pPr>
        <w:rPr>
          <w:sz w:val="24"/>
          <w:szCs w:val="24"/>
        </w:rPr>
      </w:pPr>
      <w:r>
        <w:rPr>
          <w:sz w:val="24"/>
          <w:szCs w:val="24"/>
        </w:rPr>
        <w:br w:type="page"/>
      </w:r>
    </w:p>
    <w:p w:rsidR="00F125D3" w:rsidRPr="0002391A" w:rsidRDefault="00F125D3" w:rsidP="00536251">
      <w:pPr>
        <w:pStyle w:val="BodyTextIndent"/>
        <w:tabs>
          <w:tab w:val="left" w:pos="8640"/>
        </w:tabs>
        <w:ind w:left="993" w:firstLine="0"/>
        <w:rPr>
          <w:szCs w:val="24"/>
        </w:rPr>
      </w:pPr>
      <w:r w:rsidRPr="0002391A">
        <w:rPr>
          <w:szCs w:val="24"/>
        </w:rPr>
        <w:lastRenderedPageBreak/>
        <w:t>An asset acquired through a non-exchange transaction is initially measured at its fair value as at the date of acquisition.</w:t>
      </w:r>
    </w:p>
    <w:p w:rsidR="004643A5" w:rsidRDefault="004643A5" w:rsidP="00F0640C">
      <w:pPr>
        <w:pStyle w:val="BodyTextIndent"/>
        <w:tabs>
          <w:tab w:val="left" w:pos="8640"/>
        </w:tabs>
        <w:ind w:left="0" w:firstLine="0"/>
        <w:rPr>
          <w:b/>
          <w:i/>
        </w:rPr>
      </w:pPr>
    </w:p>
    <w:p w:rsidR="00F125D3" w:rsidRDefault="00F125D3" w:rsidP="00536251">
      <w:pPr>
        <w:pStyle w:val="BodyTextIndent"/>
        <w:tabs>
          <w:tab w:val="left" w:pos="8640"/>
        </w:tabs>
        <w:ind w:left="993" w:firstLine="0"/>
        <w:rPr>
          <w:b/>
          <w:i/>
        </w:rPr>
      </w:pPr>
      <w:r>
        <w:rPr>
          <w:b/>
          <w:i/>
        </w:rPr>
        <w:t>Recognition Revenue from Non-Exchange Transactions</w:t>
      </w:r>
    </w:p>
    <w:p w:rsidR="00F125D3" w:rsidRDefault="00F125D3" w:rsidP="00536251">
      <w:pPr>
        <w:pStyle w:val="BodyTextIndent"/>
        <w:ind w:left="993" w:firstLine="0"/>
        <w:rPr>
          <w:b/>
          <w:i/>
        </w:rPr>
      </w:pPr>
    </w:p>
    <w:p w:rsidR="00F125D3" w:rsidRDefault="00F125D3" w:rsidP="00536251">
      <w:pPr>
        <w:pStyle w:val="BodyTextIndent"/>
        <w:tabs>
          <w:tab w:val="left" w:pos="8640"/>
        </w:tabs>
        <w:ind w:left="993" w:firstLine="0"/>
      </w:pPr>
      <w:r>
        <w:t xml:space="preserve">An inflow of resources from a non-exchange transaction recognized as an asset is recognized as revenue, except to the extent that a liability is also recognized </w:t>
      </w:r>
      <w:r w:rsidR="00F619FF">
        <w:t>with</w:t>
      </w:r>
      <w:r>
        <w:t xml:space="preserve"> respect </w:t>
      </w:r>
      <w:r w:rsidR="00F619FF">
        <w:t>to</w:t>
      </w:r>
      <w:r>
        <w:t xml:space="preserve"> the same inflow.</w:t>
      </w:r>
    </w:p>
    <w:p w:rsidR="00F125D3" w:rsidRDefault="00F125D3" w:rsidP="00536251">
      <w:pPr>
        <w:pStyle w:val="BodyTextIndent"/>
        <w:ind w:left="993" w:firstLine="0"/>
      </w:pPr>
    </w:p>
    <w:p w:rsidR="00F125D3" w:rsidRDefault="002825D6" w:rsidP="00536251">
      <w:pPr>
        <w:pStyle w:val="BodyTextIndent"/>
        <w:tabs>
          <w:tab w:val="left" w:pos="8640"/>
        </w:tabs>
        <w:ind w:left="993" w:firstLine="0"/>
      </w:pPr>
      <w:r>
        <w:t xml:space="preserve">The </w:t>
      </w:r>
      <w:proofErr w:type="spellStart"/>
      <w:r w:rsidR="00F125D3">
        <w:t>PhilSCA</w:t>
      </w:r>
      <w:proofErr w:type="spellEnd"/>
      <w:r w:rsidR="00F125D3">
        <w:t xml:space="preserve"> satisfies a present obligation recognized as a liability </w:t>
      </w:r>
      <w:r w:rsidR="008C474E">
        <w:t>with</w:t>
      </w:r>
      <w:r w:rsidR="00F125D3">
        <w:t xml:space="preserve"> respect </w:t>
      </w:r>
      <w:r w:rsidR="008C474E">
        <w:t>to</w:t>
      </w:r>
      <w:r w:rsidR="00F125D3">
        <w:t xml:space="preserve"> an inflow of resources from a non-exchange trans</w:t>
      </w:r>
      <w:r w:rsidR="003939D6">
        <w:t>action recognized as an asset. I</w:t>
      </w:r>
      <w:r w:rsidR="00F125D3">
        <w:t>t reduces the carrying amount of the liability recognized and an amount of revenue equal to that reduction</w:t>
      </w:r>
      <w:r w:rsidR="00872CCA">
        <w:t xml:space="preserve"> is recognized</w:t>
      </w:r>
      <w:r w:rsidR="00F125D3">
        <w:t xml:space="preserve">. </w:t>
      </w:r>
    </w:p>
    <w:p w:rsidR="00F125D3" w:rsidRDefault="00F125D3" w:rsidP="00536251">
      <w:pPr>
        <w:pStyle w:val="BodyTextIndent"/>
        <w:tabs>
          <w:tab w:val="left" w:pos="8640"/>
        </w:tabs>
        <w:ind w:left="993" w:firstLine="0"/>
      </w:pPr>
    </w:p>
    <w:p w:rsidR="00F125D3" w:rsidRDefault="00F125D3" w:rsidP="00536251">
      <w:pPr>
        <w:pStyle w:val="BodyTextIndent"/>
        <w:tabs>
          <w:tab w:val="left" w:pos="8640"/>
        </w:tabs>
        <w:ind w:left="993" w:firstLine="0"/>
        <w:rPr>
          <w:b/>
          <w:i/>
        </w:rPr>
      </w:pPr>
      <w:r>
        <w:rPr>
          <w:b/>
          <w:i/>
        </w:rPr>
        <w:t>Measurement of Revenue from Non-Exchange Transactions</w:t>
      </w:r>
    </w:p>
    <w:p w:rsidR="00F125D3" w:rsidRDefault="00F125D3" w:rsidP="00536251">
      <w:pPr>
        <w:pStyle w:val="BodyTextIndent"/>
        <w:ind w:left="993" w:firstLine="0"/>
        <w:rPr>
          <w:b/>
          <w:i/>
        </w:rPr>
      </w:pPr>
    </w:p>
    <w:p w:rsidR="006801C0" w:rsidRPr="0002391A" w:rsidRDefault="003F3886" w:rsidP="00536251">
      <w:pPr>
        <w:pStyle w:val="BodyTextIndent"/>
        <w:tabs>
          <w:tab w:val="left" w:pos="8640"/>
        </w:tabs>
        <w:ind w:left="993" w:firstLine="0"/>
      </w:pPr>
      <w:r>
        <w:t>Revenue from non</w:t>
      </w:r>
      <w:r w:rsidR="00F125D3">
        <w:t>-exchange transactions is measured at the amount of the increase in net assets recognized by the entity, unless a corresponding liability is recognized.</w:t>
      </w:r>
    </w:p>
    <w:p w:rsidR="006801C0" w:rsidRDefault="006801C0" w:rsidP="00536251">
      <w:pPr>
        <w:pStyle w:val="BodyTextIndent"/>
        <w:tabs>
          <w:tab w:val="left" w:pos="8370"/>
        </w:tabs>
        <w:ind w:left="993" w:firstLine="0"/>
        <w:rPr>
          <w:b/>
          <w:i/>
        </w:rPr>
      </w:pPr>
    </w:p>
    <w:p w:rsidR="00F125D3" w:rsidRDefault="00F125D3" w:rsidP="00536251">
      <w:pPr>
        <w:pStyle w:val="BodyTextIndent"/>
        <w:tabs>
          <w:tab w:val="left" w:pos="8640"/>
        </w:tabs>
        <w:ind w:left="993" w:firstLine="0"/>
        <w:rPr>
          <w:b/>
          <w:i/>
        </w:rPr>
      </w:pPr>
      <w:r>
        <w:rPr>
          <w:b/>
          <w:i/>
        </w:rPr>
        <w:t>Measurement of Liabilities on Initial Recognition from Non-Exchange Transactions</w:t>
      </w:r>
    </w:p>
    <w:p w:rsidR="00F125D3" w:rsidRDefault="00F125D3" w:rsidP="00CB5E48">
      <w:pPr>
        <w:pStyle w:val="BodyTextIndent"/>
        <w:ind w:left="630" w:firstLine="0"/>
        <w:rPr>
          <w:b/>
          <w:i/>
        </w:rPr>
      </w:pPr>
    </w:p>
    <w:p w:rsidR="00F125D3" w:rsidRDefault="00F125D3" w:rsidP="00536251">
      <w:pPr>
        <w:pStyle w:val="BodyTextIndent"/>
        <w:tabs>
          <w:tab w:val="left" w:pos="8640"/>
        </w:tabs>
        <w:ind w:left="993" w:firstLine="0"/>
      </w:pPr>
      <w:r>
        <w:t xml:space="preserve">The amount recognized as a liability in a non-exchange transaction is the best estimate of the amount required to settle the present obligation at the reporting date. </w:t>
      </w:r>
    </w:p>
    <w:p w:rsidR="008C04BD" w:rsidRDefault="008C04BD" w:rsidP="00536251">
      <w:pPr>
        <w:pStyle w:val="BodyTextIndent"/>
        <w:tabs>
          <w:tab w:val="left" w:pos="8640"/>
        </w:tabs>
        <w:ind w:left="993" w:firstLine="0"/>
        <w:rPr>
          <w:b/>
          <w:i/>
        </w:rPr>
      </w:pPr>
    </w:p>
    <w:p w:rsidR="00BA7389" w:rsidRDefault="00BA7389" w:rsidP="00536251">
      <w:pPr>
        <w:pStyle w:val="BodyTextIndent"/>
        <w:tabs>
          <w:tab w:val="left" w:pos="8640"/>
        </w:tabs>
        <w:ind w:left="993" w:firstLine="0"/>
        <w:rPr>
          <w:b/>
          <w:i/>
        </w:rPr>
      </w:pPr>
      <w:r>
        <w:rPr>
          <w:b/>
          <w:i/>
        </w:rPr>
        <w:t>Fees and fines not related to taxes</w:t>
      </w:r>
    </w:p>
    <w:p w:rsidR="00BA7389" w:rsidRDefault="00BA7389" w:rsidP="00536251">
      <w:pPr>
        <w:pStyle w:val="BodyTextIndent"/>
        <w:ind w:left="993" w:firstLine="0"/>
        <w:rPr>
          <w:b/>
          <w:i/>
        </w:rPr>
      </w:pPr>
    </w:p>
    <w:p w:rsidR="00BA7389" w:rsidRDefault="002825D6" w:rsidP="00536251">
      <w:pPr>
        <w:pStyle w:val="BodyTextIndent"/>
        <w:tabs>
          <w:tab w:val="left" w:pos="8640"/>
        </w:tabs>
        <w:ind w:left="993" w:firstLine="0"/>
      </w:pPr>
      <w:r>
        <w:t xml:space="preserve">The </w:t>
      </w:r>
      <w:proofErr w:type="spellStart"/>
      <w:r w:rsidR="00BA7389">
        <w:t>PhilSCA</w:t>
      </w:r>
      <w:proofErr w:type="spellEnd"/>
      <w:r w:rsidR="00BA7389">
        <w:t xml:space="preserve"> recognizes revenue from fees and fines, except those related to taxes, when earned and the asset recognition criteria were met. Deferred income is recognized instead of revenue if there is a related condition attached that would give rise to a liability to repay the amount.</w:t>
      </w:r>
    </w:p>
    <w:p w:rsidR="00BA7389" w:rsidRDefault="00BA7389" w:rsidP="00536251">
      <w:pPr>
        <w:pStyle w:val="BodyTextIndent"/>
        <w:ind w:left="993" w:firstLine="0"/>
      </w:pPr>
    </w:p>
    <w:p w:rsidR="008D6A91" w:rsidRDefault="00BA7389" w:rsidP="00536251">
      <w:pPr>
        <w:pStyle w:val="BodyTextIndent"/>
        <w:tabs>
          <w:tab w:val="left" w:pos="8640"/>
        </w:tabs>
        <w:ind w:left="993" w:firstLine="0"/>
      </w:pPr>
      <w:r>
        <w:t>Other no</w:t>
      </w:r>
      <w:r w:rsidR="00872CCA">
        <w:t>n</w:t>
      </w:r>
      <w:r>
        <w:t>-exchange</w:t>
      </w:r>
      <w:r w:rsidR="00872CCA">
        <w:t xml:space="preserve"> transaction</w:t>
      </w:r>
      <w:r>
        <w:t xml:space="preserve"> revenues were recognized when it is probable that the future economic benefits or service potential associated with the asset will flow to the entity and the fair value of the asset can be measured reliably.</w:t>
      </w:r>
    </w:p>
    <w:p w:rsidR="00AF13AC" w:rsidRDefault="00AF13AC" w:rsidP="00940833">
      <w:pPr>
        <w:pStyle w:val="BodyTextIndent"/>
        <w:tabs>
          <w:tab w:val="left" w:pos="8640"/>
        </w:tabs>
        <w:ind w:left="900" w:firstLine="0"/>
        <w:rPr>
          <w:b/>
          <w:i/>
        </w:rPr>
      </w:pPr>
    </w:p>
    <w:p w:rsidR="00BA7389" w:rsidRDefault="00421656" w:rsidP="00536251">
      <w:pPr>
        <w:pStyle w:val="BodyTextIndent"/>
        <w:tabs>
          <w:tab w:val="left" w:pos="8640"/>
        </w:tabs>
        <w:ind w:left="993" w:firstLine="0"/>
        <w:rPr>
          <w:b/>
          <w:i/>
        </w:rPr>
      </w:pPr>
      <w:r>
        <w:rPr>
          <w:b/>
          <w:i/>
        </w:rPr>
        <w:t>Gifts and Donations</w:t>
      </w:r>
    </w:p>
    <w:p w:rsidR="00421656" w:rsidRDefault="00421656" w:rsidP="00536251">
      <w:pPr>
        <w:pStyle w:val="BodyTextIndent"/>
        <w:ind w:left="993" w:firstLine="0"/>
        <w:rPr>
          <w:b/>
          <w:i/>
        </w:rPr>
      </w:pPr>
    </w:p>
    <w:p w:rsidR="00421656" w:rsidRDefault="001B6A8B" w:rsidP="00536251">
      <w:pPr>
        <w:pStyle w:val="BodyTextIndent"/>
        <w:tabs>
          <w:tab w:val="left" w:pos="8640"/>
        </w:tabs>
        <w:ind w:left="993" w:firstLine="0"/>
      </w:pPr>
      <w:r>
        <w:t>It</w:t>
      </w:r>
      <w:r w:rsidR="00421656">
        <w:t xml:space="preserve"> recognizes assets and revenue from gifts and donations when it is probable that the future economic benefits or service potential will flow to the entity and the fair value of the assets can be measured reliably.</w:t>
      </w:r>
    </w:p>
    <w:p w:rsidR="00536251" w:rsidRDefault="00536251">
      <w:pPr>
        <w:rPr>
          <w:sz w:val="24"/>
        </w:rPr>
      </w:pPr>
      <w:r>
        <w:br w:type="page"/>
      </w:r>
    </w:p>
    <w:p w:rsidR="00421656" w:rsidRDefault="00421656" w:rsidP="00536251">
      <w:pPr>
        <w:pStyle w:val="BodyTextIndent"/>
        <w:tabs>
          <w:tab w:val="left" w:pos="8640"/>
        </w:tabs>
        <w:ind w:left="993" w:firstLine="0"/>
      </w:pPr>
      <w:r>
        <w:lastRenderedPageBreak/>
        <w:t>Goods in-kind were recognized as assets when the goods were received, or there is a binding arrangement to receive the goods. If goods in-kind were received without conditions attached, a liability is recognized, which is reduced and revenue recognized as the conditions were satisfied.</w:t>
      </w:r>
    </w:p>
    <w:p w:rsidR="00421656" w:rsidRPr="00536251" w:rsidRDefault="00421656" w:rsidP="00CB5E48">
      <w:pPr>
        <w:pStyle w:val="BodyTextIndent"/>
        <w:ind w:left="630" w:firstLine="0"/>
        <w:rPr>
          <w:sz w:val="22"/>
          <w:szCs w:val="22"/>
        </w:rPr>
      </w:pPr>
    </w:p>
    <w:p w:rsidR="00466992" w:rsidRPr="00475025" w:rsidRDefault="00421656" w:rsidP="00536251">
      <w:pPr>
        <w:pStyle w:val="BodyTextIndent"/>
        <w:tabs>
          <w:tab w:val="left" w:pos="8640"/>
        </w:tabs>
        <w:ind w:left="993" w:firstLine="0"/>
      </w:pPr>
      <w:r>
        <w:t>On initial recognition, gifts and donations including goods in-kind were measured at their fair value as at the date of acquisition, which were ascertained by reference to an active market, or by appraisal. A</w:t>
      </w:r>
      <w:r w:rsidR="00536251">
        <w:t>n</w:t>
      </w:r>
      <w:r>
        <w:t xml:space="preserve"> appraisal of the value of an asset is normally undertaken by a member of the valuation profession who holds a recognized and relevant professional qualification. For many assets, the fair </w:t>
      </w:r>
      <w:r w:rsidR="0046481F">
        <w:t>values were</w:t>
      </w:r>
      <w:r>
        <w:t xml:space="preserve"> ascertained by reference to quoted prices in an active and liquid market.</w:t>
      </w:r>
    </w:p>
    <w:p w:rsidR="00466992" w:rsidRPr="00536251" w:rsidRDefault="00466992" w:rsidP="00536251">
      <w:pPr>
        <w:pStyle w:val="BodyTextIndent"/>
        <w:tabs>
          <w:tab w:val="left" w:pos="8640"/>
        </w:tabs>
        <w:ind w:left="993" w:firstLine="0"/>
        <w:rPr>
          <w:b/>
          <w:i/>
          <w:sz w:val="22"/>
          <w:szCs w:val="22"/>
        </w:rPr>
      </w:pPr>
    </w:p>
    <w:p w:rsidR="006A4F84" w:rsidRDefault="006A4F84" w:rsidP="00536251">
      <w:pPr>
        <w:pStyle w:val="BodyTextIndent"/>
        <w:tabs>
          <w:tab w:val="left" w:pos="8640"/>
        </w:tabs>
        <w:ind w:left="993" w:firstLine="0"/>
        <w:rPr>
          <w:b/>
          <w:i/>
        </w:rPr>
      </w:pPr>
      <w:r>
        <w:rPr>
          <w:b/>
          <w:i/>
        </w:rPr>
        <w:t>Tr</w:t>
      </w:r>
      <w:r w:rsidR="00466992">
        <w:rPr>
          <w:b/>
          <w:i/>
        </w:rPr>
        <w:t>ansfer</w:t>
      </w:r>
    </w:p>
    <w:p w:rsidR="00466992" w:rsidRPr="00536251" w:rsidRDefault="00466992" w:rsidP="00536251">
      <w:pPr>
        <w:pStyle w:val="BodyTextIndent"/>
        <w:ind w:left="993" w:firstLine="0"/>
        <w:rPr>
          <w:b/>
          <w:i/>
          <w:sz w:val="22"/>
          <w:szCs w:val="22"/>
        </w:rPr>
      </w:pPr>
    </w:p>
    <w:p w:rsidR="006801C0" w:rsidRPr="0002391A" w:rsidRDefault="008F76F8" w:rsidP="00536251">
      <w:pPr>
        <w:pStyle w:val="BodyTextIndent"/>
        <w:tabs>
          <w:tab w:val="left" w:pos="8640"/>
        </w:tabs>
        <w:ind w:left="993" w:firstLine="0"/>
      </w:pPr>
      <w:r>
        <w:t>It</w:t>
      </w:r>
      <w:r w:rsidR="006A4F84">
        <w:t xml:space="preserve"> recognizes an asset</w:t>
      </w:r>
      <w:r w:rsidR="00D9360D">
        <w:t>,</w:t>
      </w:r>
      <w:r w:rsidR="006A4F84">
        <w:t xml:space="preserve"> in respect of transfers</w:t>
      </w:r>
      <w:r w:rsidR="00501330">
        <w:t>,</w:t>
      </w:r>
      <w:r w:rsidR="006A4F84">
        <w:t xml:space="preserve"> when the transferred resources meet the definition of an asset and satisfy the criteria for recognition as an asset, except those arising from services in-kind.</w:t>
      </w:r>
    </w:p>
    <w:p w:rsidR="006801C0" w:rsidRPr="00536251" w:rsidRDefault="006801C0" w:rsidP="00536251">
      <w:pPr>
        <w:pStyle w:val="BodyTextIndent"/>
        <w:tabs>
          <w:tab w:val="left" w:pos="8640"/>
        </w:tabs>
        <w:ind w:left="993" w:firstLine="0"/>
        <w:rPr>
          <w:b/>
          <w:i/>
          <w:sz w:val="22"/>
          <w:szCs w:val="22"/>
        </w:rPr>
      </w:pPr>
    </w:p>
    <w:p w:rsidR="006A4F84" w:rsidRDefault="0041694C" w:rsidP="00536251">
      <w:pPr>
        <w:pStyle w:val="BodyTextIndent"/>
        <w:tabs>
          <w:tab w:val="left" w:pos="8640"/>
        </w:tabs>
        <w:ind w:left="993" w:firstLine="0"/>
        <w:rPr>
          <w:b/>
          <w:i/>
        </w:rPr>
      </w:pPr>
      <w:r>
        <w:rPr>
          <w:b/>
          <w:i/>
        </w:rPr>
        <w:t>Services in-Kind</w:t>
      </w:r>
    </w:p>
    <w:p w:rsidR="0041694C" w:rsidRPr="00536251" w:rsidRDefault="0041694C" w:rsidP="00536251">
      <w:pPr>
        <w:pStyle w:val="BodyTextIndent"/>
        <w:tabs>
          <w:tab w:val="left" w:pos="8640"/>
        </w:tabs>
        <w:ind w:left="993" w:firstLine="0"/>
        <w:rPr>
          <w:b/>
          <w:i/>
          <w:sz w:val="22"/>
          <w:szCs w:val="22"/>
        </w:rPr>
      </w:pPr>
    </w:p>
    <w:p w:rsidR="0041694C" w:rsidRDefault="0041694C" w:rsidP="00536251">
      <w:pPr>
        <w:pStyle w:val="BodyTextIndent"/>
        <w:tabs>
          <w:tab w:val="left" w:pos="8640"/>
        </w:tabs>
        <w:ind w:left="993" w:firstLine="0"/>
      </w:pPr>
      <w:r>
        <w:t xml:space="preserve">Services in-kind were not recognized as asset and revenue considering the complexity of the determination of and recognition of asset and revenue and the </w:t>
      </w:r>
      <w:r w:rsidR="00CC3A5C">
        <w:t>eventual recognition of expenses.</w:t>
      </w:r>
    </w:p>
    <w:p w:rsidR="00CC3A5C" w:rsidRPr="00536251" w:rsidRDefault="00CC3A5C" w:rsidP="00CB5E48">
      <w:pPr>
        <w:pStyle w:val="BodyTextIndent"/>
        <w:ind w:left="630" w:firstLine="0"/>
        <w:rPr>
          <w:sz w:val="22"/>
          <w:szCs w:val="22"/>
        </w:rPr>
      </w:pPr>
    </w:p>
    <w:p w:rsidR="00CC3A5C" w:rsidRDefault="00F13985" w:rsidP="00536251">
      <w:pPr>
        <w:pStyle w:val="BodyTextIndent"/>
        <w:tabs>
          <w:tab w:val="left" w:pos="8640"/>
        </w:tabs>
        <w:ind w:left="993" w:firstLine="0"/>
        <w:rPr>
          <w:b/>
          <w:i/>
        </w:rPr>
      </w:pPr>
      <w:r>
        <w:rPr>
          <w:b/>
          <w:i/>
        </w:rPr>
        <w:t>Transfers from other government entities</w:t>
      </w:r>
    </w:p>
    <w:p w:rsidR="00F13985" w:rsidRPr="00536251" w:rsidRDefault="00F13985" w:rsidP="00CB5E48">
      <w:pPr>
        <w:pStyle w:val="BodyTextIndent"/>
        <w:ind w:left="630" w:firstLine="0"/>
        <w:rPr>
          <w:b/>
          <w:i/>
          <w:sz w:val="22"/>
          <w:szCs w:val="22"/>
        </w:rPr>
      </w:pPr>
    </w:p>
    <w:p w:rsidR="001D2C52" w:rsidRDefault="00F13985" w:rsidP="00536251">
      <w:pPr>
        <w:pStyle w:val="BodyTextIndent"/>
        <w:tabs>
          <w:tab w:val="left" w:pos="8640"/>
        </w:tabs>
        <w:ind w:left="993" w:firstLine="0"/>
      </w:pPr>
      <w:r>
        <w:t xml:space="preserve">Revenues from non-exchange transactions with other government entities and the related assets were measured at fair value and recognized </w:t>
      </w:r>
      <w:r w:rsidR="00BF3FC7">
        <w:t>upon</w:t>
      </w:r>
      <w:r>
        <w:t xml:space="preserve"> obtaining control of the asset (cash, goods, services and property) if the transfer is free from conditions and it is probable that the economic benefits or service potential related to the asset will flow to </w:t>
      </w:r>
      <w:proofErr w:type="spellStart"/>
      <w:r>
        <w:t>PhilSCA</w:t>
      </w:r>
      <w:proofErr w:type="spellEnd"/>
      <w:r>
        <w:t xml:space="preserve"> and can be measured reliably.</w:t>
      </w:r>
    </w:p>
    <w:p w:rsidR="003F74E8" w:rsidRPr="00536251" w:rsidRDefault="003F74E8" w:rsidP="00CB5E48">
      <w:pPr>
        <w:pStyle w:val="BodyTextIndent"/>
        <w:tabs>
          <w:tab w:val="left" w:pos="8640"/>
        </w:tabs>
        <w:ind w:left="630" w:firstLine="0"/>
        <w:rPr>
          <w:sz w:val="22"/>
          <w:szCs w:val="22"/>
        </w:rPr>
      </w:pPr>
    </w:p>
    <w:p w:rsidR="006A4F84" w:rsidRDefault="005358C4" w:rsidP="00536251">
      <w:pPr>
        <w:pStyle w:val="BodyTextIndent"/>
        <w:numPr>
          <w:ilvl w:val="1"/>
          <w:numId w:val="18"/>
        </w:numPr>
        <w:ind w:left="993" w:hanging="567"/>
        <w:rPr>
          <w:b/>
        </w:rPr>
      </w:pPr>
      <w:r>
        <w:rPr>
          <w:b/>
        </w:rPr>
        <w:t>Revenue from exchange transactions</w:t>
      </w:r>
    </w:p>
    <w:p w:rsidR="00D4235E" w:rsidRPr="00536251" w:rsidRDefault="00D4235E" w:rsidP="00A004D1">
      <w:pPr>
        <w:pStyle w:val="BodyTextIndent"/>
        <w:tabs>
          <w:tab w:val="left" w:pos="720"/>
          <w:tab w:val="left" w:pos="8640"/>
        </w:tabs>
        <w:ind w:left="270" w:firstLine="0"/>
        <w:rPr>
          <w:b/>
          <w:sz w:val="22"/>
          <w:szCs w:val="22"/>
        </w:rPr>
      </w:pPr>
      <w:r>
        <w:rPr>
          <w:b/>
        </w:rPr>
        <w:tab/>
      </w:r>
    </w:p>
    <w:p w:rsidR="005358C4" w:rsidRDefault="0046481F" w:rsidP="00536251">
      <w:pPr>
        <w:pStyle w:val="BodyTextIndent"/>
        <w:tabs>
          <w:tab w:val="left" w:pos="8640"/>
        </w:tabs>
        <w:ind w:left="993" w:firstLine="0"/>
        <w:rPr>
          <w:b/>
          <w:i/>
        </w:rPr>
      </w:pPr>
      <w:r>
        <w:rPr>
          <w:b/>
          <w:i/>
        </w:rPr>
        <w:t>Measu</w:t>
      </w:r>
      <w:r w:rsidR="005358C4">
        <w:rPr>
          <w:b/>
          <w:i/>
        </w:rPr>
        <w:t>rement of Revenue</w:t>
      </w:r>
    </w:p>
    <w:p w:rsidR="005358C4" w:rsidRPr="00536251" w:rsidRDefault="005358C4" w:rsidP="00CB5E48">
      <w:pPr>
        <w:pStyle w:val="BodyTextIndent"/>
        <w:tabs>
          <w:tab w:val="left" w:pos="360"/>
        </w:tabs>
        <w:ind w:left="630" w:firstLine="0"/>
        <w:rPr>
          <w:b/>
          <w:i/>
          <w:sz w:val="22"/>
          <w:szCs w:val="22"/>
        </w:rPr>
      </w:pPr>
    </w:p>
    <w:p w:rsidR="005358C4" w:rsidRDefault="005358C4" w:rsidP="00536251">
      <w:pPr>
        <w:pStyle w:val="BodyTextIndent"/>
        <w:tabs>
          <w:tab w:val="left" w:pos="8640"/>
        </w:tabs>
        <w:ind w:left="993" w:firstLine="0"/>
      </w:pPr>
      <w:r>
        <w:t>Revenue shall be measured at the fair value of the consideration received or receivable.</w:t>
      </w:r>
    </w:p>
    <w:p w:rsidR="005358C4" w:rsidRPr="00536251" w:rsidRDefault="005358C4" w:rsidP="00CB5E48">
      <w:pPr>
        <w:pStyle w:val="BodyTextIndent"/>
        <w:ind w:left="630" w:firstLine="0"/>
        <w:rPr>
          <w:b/>
          <w:i/>
          <w:sz w:val="22"/>
          <w:szCs w:val="22"/>
        </w:rPr>
      </w:pPr>
    </w:p>
    <w:p w:rsidR="005358C4" w:rsidRDefault="005358C4" w:rsidP="00536251">
      <w:pPr>
        <w:pStyle w:val="BodyTextIndent"/>
        <w:tabs>
          <w:tab w:val="left" w:pos="8640"/>
        </w:tabs>
        <w:ind w:left="993" w:firstLine="0"/>
        <w:rPr>
          <w:b/>
          <w:i/>
        </w:rPr>
      </w:pPr>
      <w:r>
        <w:rPr>
          <w:b/>
          <w:i/>
        </w:rPr>
        <w:t>Rendering of Services</w:t>
      </w:r>
    </w:p>
    <w:p w:rsidR="005358C4" w:rsidRPr="00536251" w:rsidRDefault="005358C4" w:rsidP="00536251">
      <w:pPr>
        <w:pStyle w:val="BodyTextIndent"/>
        <w:tabs>
          <w:tab w:val="left" w:pos="8640"/>
        </w:tabs>
        <w:ind w:left="993" w:firstLine="0"/>
        <w:rPr>
          <w:b/>
          <w:i/>
          <w:sz w:val="22"/>
          <w:szCs w:val="22"/>
        </w:rPr>
      </w:pPr>
    </w:p>
    <w:p w:rsidR="005358C4" w:rsidRDefault="00F4652F" w:rsidP="00536251">
      <w:pPr>
        <w:pStyle w:val="BodyTextIndent"/>
        <w:tabs>
          <w:tab w:val="left" w:pos="8640"/>
        </w:tabs>
        <w:ind w:left="993" w:firstLine="0"/>
      </w:pPr>
      <w:r>
        <w:t xml:space="preserve">The </w:t>
      </w:r>
      <w:proofErr w:type="spellStart"/>
      <w:r w:rsidR="005358C4">
        <w:t>PhilSCA</w:t>
      </w:r>
      <w:proofErr w:type="spellEnd"/>
      <w:r w:rsidR="005358C4">
        <w:t xml:space="preserve"> recognizes revenue from rendering of services by reference to the stage of completion when the outcome of the transaction can be estimated reliably. The stage of completion is measured by reference to labor hours incurred to date as a percentage of total estimated labor hours.</w:t>
      </w:r>
    </w:p>
    <w:p w:rsidR="00536251" w:rsidRDefault="00536251">
      <w:pPr>
        <w:rPr>
          <w:sz w:val="24"/>
        </w:rPr>
      </w:pPr>
      <w:r>
        <w:br w:type="page"/>
      </w:r>
    </w:p>
    <w:p w:rsidR="005358C4" w:rsidRDefault="005358C4" w:rsidP="00536251">
      <w:pPr>
        <w:pStyle w:val="BodyTextIndent"/>
        <w:tabs>
          <w:tab w:val="left" w:pos="8640"/>
        </w:tabs>
        <w:ind w:left="993" w:firstLine="0"/>
      </w:pPr>
      <w:r>
        <w:lastRenderedPageBreak/>
        <w:t>Where the contract outcome cannot be measured reliably, revenue is recognized only to the extent that the expe</w:t>
      </w:r>
      <w:r w:rsidR="00EB0B11">
        <w:t>nses incurred were recoverable.</w:t>
      </w:r>
    </w:p>
    <w:p w:rsidR="00C57D0C" w:rsidRDefault="00C57D0C" w:rsidP="00A004D1">
      <w:pPr>
        <w:pStyle w:val="BodyTextIndent"/>
        <w:tabs>
          <w:tab w:val="left" w:pos="8640"/>
        </w:tabs>
        <w:ind w:left="270" w:firstLine="0"/>
      </w:pPr>
    </w:p>
    <w:p w:rsidR="00C57D0C" w:rsidRDefault="00C57D0C" w:rsidP="004408CB">
      <w:pPr>
        <w:pStyle w:val="BodyTextIndent"/>
        <w:numPr>
          <w:ilvl w:val="1"/>
          <w:numId w:val="18"/>
        </w:numPr>
        <w:ind w:left="993" w:hanging="567"/>
        <w:rPr>
          <w:b/>
        </w:rPr>
      </w:pPr>
      <w:r>
        <w:rPr>
          <w:b/>
        </w:rPr>
        <w:t>Budget information</w:t>
      </w:r>
    </w:p>
    <w:p w:rsidR="00C57D0C" w:rsidRDefault="00C57D0C" w:rsidP="00A004D1">
      <w:pPr>
        <w:pStyle w:val="BodyTextIndent"/>
        <w:tabs>
          <w:tab w:val="left" w:pos="360"/>
        </w:tabs>
        <w:ind w:left="270" w:firstLine="0"/>
        <w:rPr>
          <w:b/>
        </w:rPr>
      </w:pPr>
    </w:p>
    <w:p w:rsidR="001F0A77" w:rsidRDefault="001F0A77" w:rsidP="004408CB">
      <w:pPr>
        <w:pStyle w:val="BodyTextIndent"/>
        <w:tabs>
          <w:tab w:val="left" w:pos="8640"/>
        </w:tabs>
        <w:ind w:left="993" w:firstLine="0"/>
      </w:pPr>
      <w:r>
        <w:t>The annual budget is prepared on a cash basis and is published in the government website.</w:t>
      </w:r>
    </w:p>
    <w:p w:rsidR="009245A8" w:rsidRPr="009245A8" w:rsidRDefault="009245A8" w:rsidP="004408CB">
      <w:pPr>
        <w:pStyle w:val="BodyTextIndent"/>
        <w:ind w:left="993" w:firstLine="0"/>
      </w:pPr>
    </w:p>
    <w:p w:rsidR="001F0A77" w:rsidRDefault="001F0A77" w:rsidP="004408CB">
      <w:pPr>
        <w:pStyle w:val="BodyTextIndent"/>
        <w:tabs>
          <w:tab w:val="left" w:pos="8640"/>
        </w:tabs>
        <w:ind w:left="993" w:firstLine="0"/>
      </w:pPr>
      <w:r>
        <w:t xml:space="preserve">As a result of the adoption of the cash basis for budgeting purposes, a separate </w:t>
      </w:r>
      <w:r w:rsidRPr="00583221">
        <w:rPr>
          <w:b/>
        </w:rPr>
        <w:t>Statement of Comparison of Budget and Actual Amounts</w:t>
      </w:r>
      <w:r w:rsidR="004408CB">
        <w:rPr>
          <w:b/>
        </w:rPr>
        <w:t xml:space="preserve"> </w:t>
      </w:r>
      <w:r>
        <w:t>is presented. Explanatory comments are provided in the notes to the annual financial statements; first, the reasons for overall growth or decline in the budget are stated, followed by details of overspending or underspending on line items.</w:t>
      </w:r>
    </w:p>
    <w:p w:rsidR="006F053D" w:rsidRDefault="006F053D" w:rsidP="004408CB">
      <w:pPr>
        <w:pStyle w:val="BodyTextIndent"/>
        <w:ind w:left="993" w:firstLine="0"/>
      </w:pPr>
    </w:p>
    <w:p w:rsidR="00FB2C8B" w:rsidRPr="008756E8" w:rsidRDefault="006F053D" w:rsidP="004408CB">
      <w:pPr>
        <w:pStyle w:val="BodyTextIndent"/>
        <w:tabs>
          <w:tab w:val="left" w:pos="8640"/>
        </w:tabs>
        <w:ind w:left="993" w:firstLine="0"/>
      </w:pPr>
      <w:r>
        <w:t xml:space="preserve">The annual budget figures included in the financial statement are for </w:t>
      </w:r>
      <w:proofErr w:type="spellStart"/>
      <w:r>
        <w:t>PhilSCA</w:t>
      </w:r>
      <w:proofErr w:type="spellEnd"/>
      <w:r>
        <w:t>. These budget figures are those approved by the governing body both at the beginning and during the year following a period of consultation with the public.</w:t>
      </w:r>
    </w:p>
    <w:p w:rsidR="00FB2C8B" w:rsidRDefault="00FB2C8B" w:rsidP="004408CB">
      <w:pPr>
        <w:pStyle w:val="BodyTextIndent"/>
        <w:tabs>
          <w:tab w:val="left" w:pos="8370"/>
          <w:tab w:val="left" w:pos="8640"/>
        </w:tabs>
        <w:ind w:left="993" w:firstLine="0"/>
        <w:rPr>
          <w:b/>
          <w:highlight w:val="yellow"/>
        </w:rPr>
      </w:pPr>
    </w:p>
    <w:p w:rsidR="00E814DC" w:rsidRDefault="00E814DC" w:rsidP="004408CB">
      <w:pPr>
        <w:pStyle w:val="BodyTextIndent"/>
        <w:numPr>
          <w:ilvl w:val="1"/>
          <w:numId w:val="18"/>
        </w:numPr>
        <w:ind w:left="993" w:hanging="567"/>
        <w:rPr>
          <w:b/>
        </w:rPr>
      </w:pPr>
      <w:r w:rsidRPr="00A2734C">
        <w:rPr>
          <w:b/>
        </w:rPr>
        <w:t>Related Parties</w:t>
      </w:r>
    </w:p>
    <w:p w:rsidR="00E814DC" w:rsidRDefault="00E814DC" w:rsidP="004408CB">
      <w:pPr>
        <w:pStyle w:val="BodyTextIndent"/>
        <w:ind w:left="993" w:firstLine="0"/>
        <w:rPr>
          <w:b/>
        </w:rPr>
      </w:pPr>
    </w:p>
    <w:p w:rsidR="00384A9D" w:rsidRDefault="00E814DC" w:rsidP="004408CB">
      <w:pPr>
        <w:pStyle w:val="BodyTextIndent"/>
        <w:tabs>
          <w:tab w:val="left" w:pos="8640"/>
        </w:tabs>
        <w:ind w:left="993" w:firstLine="0"/>
      </w:pPr>
      <w:proofErr w:type="spellStart"/>
      <w:r>
        <w:t>PhilSCA</w:t>
      </w:r>
      <w:proofErr w:type="spellEnd"/>
      <w:r>
        <w:t xml:space="preserve"> re</w:t>
      </w:r>
      <w:r w:rsidR="00EE7E0A">
        <w:t>gards a related party as a person or an entity with the ability to exert control individually</w:t>
      </w:r>
      <w:r w:rsidR="00605733">
        <w:t xml:space="preserve"> or jointly, or to exercise significant influence over </w:t>
      </w:r>
      <w:proofErr w:type="spellStart"/>
      <w:r w:rsidR="00605733">
        <w:t>PhilSCA</w:t>
      </w:r>
      <w:proofErr w:type="spellEnd"/>
      <w:r w:rsidR="00605733">
        <w:t>, or vice versa.</w:t>
      </w:r>
    </w:p>
    <w:p w:rsidR="00035154" w:rsidRDefault="00035154" w:rsidP="004408CB">
      <w:pPr>
        <w:pStyle w:val="BodyTextIndent"/>
        <w:tabs>
          <w:tab w:val="left" w:pos="810"/>
        </w:tabs>
        <w:ind w:left="993" w:firstLine="0"/>
      </w:pPr>
    </w:p>
    <w:p w:rsidR="004618C5" w:rsidRDefault="00326186" w:rsidP="004408CB">
      <w:pPr>
        <w:pStyle w:val="BodyTextIndent"/>
        <w:tabs>
          <w:tab w:val="left" w:pos="8640"/>
        </w:tabs>
        <w:ind w:left="993" w:firstLine="0"/>
      </w:pPr>
      <w:r>
        <w:t xml:space="preserve">The administration and management of </w:t>
      </w:r>
      <w:proofErr w:type="spellStart"/>
      <w:r>
        <w:t>PhilSCA</w:t>
      </w:r>
      <w:proofErr w:type="spellEnd"/>
      <w:r>
        <w:t xml:space="preserve"> is vested in the Board of Trustees as the governing body of the College und</w:t>
      </w:r>
      <w:r w:rsidR="007843CA">
        <w:t>er Section Nos. 5 and 11 of RA</w:t>
      </w:r>
      <w:r>
        <w:t xml:space="preserve"> No. 7605</w:t>
      </w:r>
      <w:r w:rsidR="0012218B">
        <w:t>.</w:t>
      </w:r>
    </w:p>
    <w:p w:rsidR="003F74E8" w:rsidRDefault="003F74E8" w:rsidP="000F45BD">
      <w:pPr>
        <w:pStyle w:val="BodyTextIndent"/>
        <w:tabs>
          <w:tab w:val="left" w:pos="8640"/>
        </w:tabs>
        <w:ind w:left="900" w:firstLine="0"/>
      </w:pPr>
    </w:p>
    <w:p w:rsidR="00E04072" w:rsidRDefault="00E04072" w:rsidP="004408CB">
      <w:pPr>
        <w:pStyle w:val="BodyTextIndent"/>
        <w:numPr>
          <w:ilvl w:val="1"/>
          <w:numId w:val="18"/>
        </w:numPr>
        <w:ind w:left="993" w:hanging="567"/>
        <w:rPr>
          <w:b/>
        </w:rPr>
      </w:pPr>
      <w:r>
        <w:rPr>
          <w:b/>
        </w:rPr>
        <w:t>Employee benefits</w:t>
      </w:r>
    </w:p>
    <w:p w:rsidR="00E04072" w:rsidRDefault="00E04072" w:rsidP="00A004D1">
      <w:pPr>
        <w:pStyle w:val="BodyTextIndent"/>
        <w:tabs>
          <w:tab w:val="left" w:pos="810"/>
          <w:tab w:val="left" w:pos="8640"/>
        </w:tabs>
        <w:ind w:left="270"/>
        <w:rPr>
          <w:b/>
        </w:rPr>
      </w:pPr>
    </w:p>
    <w:p w:rsidR="00E04072" w:rsidRDefault="00E04072" w:rsidP="00940833">
      <w:pPr>
        <w:pStyle w:val="BodyTextIndent"/>
        <w:tabs>
          <w:tab w:val="left" w:pos="8640"/>
        </w:tabs>
        <w:ind w:left="900" w:firstLine="0"/>
      </w:pPr>
      <w:r>
        <w:t xml:space="preserve">The employees of </w:t>
      </w:r>
      <w:proofErr w:type="spellStart"/>
      <w:r>
        <w:t>PhilSCA</w:t>
      </w:r>
      <w:proofErr w:type="spellEnd"/>
      <w:r>
        <w:t xml:space="preserve"> are member</w:t>
      </w:r>
      <w:r w:rsidR="0090399D">
        <w:t>s</w:t>
      </w:r>
      <w:r>
        <w:t xml:space="preserve"> of the Government Service Insurance System (GSIS), which provides life and retirement insurance coverage. </w:t>
      </w:r>
    </w:p>
    <w:p w:rsidR="00E04072" w:rsidRDefault="00E04072" w:rsidP="0078465E">
      <w:pPr>
        <w:pStyle w:val="BodyTextIndent"/>
        <w:tabs>
          <w:tab w:val="left" w:pos="900"/>
          <w:tab w:val="left" w:pos="1350"/>
        </w:tabs>
        <w:ind w:left="810" w:firstLine="0"/>
      </w:pPr>
    </w:p>
    <w:p w:rsidR="00E04072" w:rsidRDefault="00E04072" w:rsidP="004408CB">
      <w:pPr>
        <w:pStyle w:val="BodyTextIndent"/>
        <w:tabs>
          <w:tab w:val="left" w:pos="8640"/>
        </w:tabs>
        <w:ind w:left="993" w:firstLine="0"/>
      </w:pPr>
      <w:proofErr w:type="spellStart"/>
      <w:r>
        <w:t>PhilSCA</w:t>
      </w:r>
      <w:proofErr w:type="spellEnd"/>
      <w:r>
        <w:t xml:space="preserve"> recognizes the undiscounted amount of short term employee benefits, like salaries, wages, bonuses, allowance, etc., as expense unless capitalized, and as a liability after deducting the amount paid.</w:t>
      </w:r>
    </w:p>
    <w:p w:rsidR="00E04072" w:rsidRDefault="00E04072" w:rsidP="004408CB">
      <w:pPr>
        <w:pStyle w:val="BodyTextIndent"/>
        <w:tabs>
          <w:tab w:val="left" w:pos="900"/>
          <w:tab w:val="left" w:pos="1350"/>
        </w:tabs>
        <w:ind w:left="993" w:firstLine="0"/>
      </w:pPr>
    </w:p>
    <w:p w:rsidR="00475025" w:rsidRDefault="00E04072" w:rsidP="004408CB">
      <w:pPr>
        <w:pStyle w:val="BodyTextIndent"/>
        <w:tabs>
          <w:tab w:val="left" w:pos="8640"/>
        </w:tabs>
        <w:ind w:left="993" w:firstLine="0"/>
      </w:pPr>
      <w:r>
        <w:t>It recognizes expenses for accumulating compensated absences when these were paid (commuted or paid as terminal leave benefits). Unused entitlements that have accumulated at the reporting date were not recognized as expense. Non-accumulating compensated absences, like special leave privileges, were not recognized.</w:t>
      </w:r>
    </w:p>
    <w:p w:rsidR="004408CB" w:rsidRDefault="004408CB">
      <w:pPr>
        <w:rPr>
          <w:b/>
          <w:sz w:val="24"/>
        </w:rPr>
      </w:pPr>
      <w:r>
        <w:rPr>
          <w:b/>
        </w:rPr>
        <w:br w:type="page"/>
      </w:r>
    </w:p>
    <w:p w:rsidR="00C36252" w:rsidRDefault="00C36252" w:rsidP="004408CB">
      <w:pPr>
        <w:pStyle w:val="BodyTextIndent"/>
        <w:numPr>
          <w:ilvl w:val="1"/>
          <w:numId w:val="18"/>
        </w:numPr>
        <w:ind w:left="993" w:hanging="567"/>
        <w:rPr>
          <w:b/>
        </w:rPr>
      </w:pPr>
      <w:r>
        <w:rPr>
          <w:b/>
        </w:rPr>
        <w:lastRenderedPageBreak/>
        <w:t>Measurement uncertainty</w:t>
      </w:r>
    </w:p>
    <w:p w:rsidR="00C36252" w:rsidRDefault="00C36252" w:rsidP="00A004D1">
      <w:pPr>
        <w:pStyle w:val="BodyTextIndent"/>
        <w:tabs>
          <w:tab w:val="left" w:pos="900"/>
          <w:tab w:val="left" w:pos="1350"/>
        </w:tabs>
        <w:ind w:left="270"/>
        <w:rPr>
          <w:b/>
        </w:rPr>
      </w:pPr>
    </w:p>
    <w:p w:rsidR="00012B72" w:rsidRDefault="000A46F1" w:rsidP="004408CB">
      <w:pPr>
        <w:pStyle w:val="BodyTextIndent"/>
        <w:tabs>
          <w:tab w:val="left" w:pos="8640"/>
        </w:tabs>
        <w:ind w:left="993" w:firstLine="0"/>
      </w:pPr>
      <w:r>
        <w:t xml:space="preserve">The preparation of financial statements in conformity with PPSAS, requires management to make estimates and assumptions that affect the reporting amounts of assets and liabilities, and disclosure of contingent assets and liabilities, at the date of the financial statements and the reported amounts of the revenues and expenses during the period. Items requiring the use of significant estimates </w:t>
      </w:r>
      <w:r w:rsidRPr="004E0A6D">
        <w:t xml:space="preserve">include </w:t>
      </w:r>
      <w:r w:rsidR="006808F0" w:rsidRPr="004E0A6D">
        <w:t>the</w:t>
      </w:r>
      <w:r w:rsidR="004408CB">
        <w:t xml:space="preserve"> </w:t>
      </w:r>
      <w:r w:rsidR="00EB0B11">
        <w:t xml:space="preserve">setting up </w:t>
      </w:r>
      <w:r w:rsidR="00012B72">
        <w:t xml:space="preserve">of allowance for impairment </w:t>
      </w:r>
      <w:r w:rsidR="00EB0B11">
        <w:t xml:space="preserve">to provide </w:t>
      </w:r>
      <w:r w:rsidR="0078465E">
        <w:t xml:space="preserve">for </w:t>
      </w:r>
      <w:r w:rsidR="00EB0B11">
        <w:t>an adequate amount of uncollectible portion</w:t>
      </w:r>
      <w:r w:rsidR="00012B72">
        <w:t xml:space="preserve"> of receivables.</w:t>
      </w:r>
    </w:p>
    <w:p w:rsidR="000A46F1" w:rsidRDefault="000A46F1" w:rsidP="004408CB">
      <w:pPr>
        <w:pStyle w:val="BodyTextIndent"/>
        <w:tabs>
          <w:tab w:val="left" w:pos="900"/>
          <w:tab w:val="left" w:pos="1350"/>
        </w:tabs>
        <w:ind w:left="993" w:firstLine="0"/>
      </w:pPr>
    </w:p>
    <w:p w:rsidR="00C86184" w:rsidRPr="002A29E7" w:rsidRDefault="000A46F1" w:rsidP="004408CB">
      <w:pPr>
        <w:pStyle w:val="BodyTextIndent"/>
        <w:tabs>
          <w:tab w:val="left" w:pos="8640"/>
        </w:tabs>
        <w:ind w:left="993" w:firstLine="0"/>
      </w:pPr>
      <w:r>
        <w:t>Estimates were based on the best information available at the time of preparation of the financial statements and were reviewed annually to reflect new information as it becomes available. Measurement uncertainty exists in these financial statements. Actual results coul</w:t>
      </w:r>
      <w:r w:rsidR="002A29E7">
        <w:t>d differ from these estimates.</w:t>
      </w:r>
    </w:p>
    <w:p w:rsidR="00C86184" w:rsidRDefault="00C86184" w:rsidP="0012218B">
      <w:pPr>
        <w:pStyle w:val="BodyTextIndent"/>
        <w:tabs>
          <w:tab w:val="left" w:pos="360"/>
          <w:tab w:val="left" w:pos="900"/>
          <w:tab w:val="left" w:pos="1350"/>
        </w:tabs>
        <w:ind w:left="0" w:firstLine="0"/>
        <w:rPr>
          <w:b/>
        </w:rPr>
      </w:pPr>
    </w:p>
    <w:p w:rsidR="006B03B7" w:rsidRDefault="000D0175" w:rsidP="004408CB">
      <w:pPr>
        <w:pStyle w:val="BodyTextIndent"/>
        <w:numPr>
          <w:ilvl w:val="0"/>
          <w:numId w:val="18"/>
        </w:numPr>
        <w:ind w:left="426" w:hanging="426"/>
        <w:rPr>
          <w:b/>
        </w:rPr>
      </w:pPr>
      <w:r>
        <w:rPr>
          <w:b/>
        </w:rPr>
        <w:t>Prior Period Adjustments</w:t>
      </w:r>
    </w:p>
    <w:p w:rsidR="000D0175" w:rsidRDefault="000D0175" w:rsidP="0012218B">
      <w:pPr>
        <w:pStyle w:val="BodyTextIndent"/>
        <w:tabs>
          <w:tab w:val="left" w:pos="360"/>
          <w:tab w:val="left" w:pos="900"/>
          <w:tab w:val="left" w:pos="1350"/>
        </w:tabs>
        <w:ind w:left="0" w:firstLine="0"/>
        <w:rPr>
          <w:b/>
        </w:rPr>
      </w:pPr>
    </w:p>
    <w:p w:rsidR="00384A9D" w:rsidRPr="008726CD" w:rsidRDefault="00943920" w:rsidP="004408CB">
      <w:pPr>
        <w:pStyle w:val="BodyTextIndent"/>
        <w:tabs>
          <w:tab w:val="left" w:pos="8370"/>
        </w:tabs>
        <w:ind w:left="426" w:firstLine="0"/>
      </w:pPr>
      <w:r>
        <w:t xml:space="preserve">Prior period adjustments are recorded by using </w:t>
      </w:r>
      <w:r w:rsidRPr="002B7BA6">
        <w:t xml:space="preserve">the </w:t>
      </w:r>
      <w:r>
        <w:t xml:space="preserve">Accumulated Surplus/Deficit account. </w:t>
      </w:r>
      <w:r w:rsidRPr="002B7BA6">
        <w:t>Errors affecting current year’s operation are charged to the current year’s accounts.</w:t>
      </w:r>
    </w:p>
    <w:p w:rsidR="00384A9D" w:rsidRDefault="00384A9D" w:rsidP="0012218B">
      <w:pPr>
        <w:pStyle w:val="BodyTextIndent"/>
        <w:tabs>
          <w:tab w:val="left" w:pos="360"/>
          <w:tab w:val="left" w:pos="900"/>
          <w:tab w:val="left" w:pos="1350"/>
        </w:tabs>
        <w:ind w:left="0" w:firstLine="0"/>
        <w:rPr>
          <w:b/>
        </w:rPr>
      </w:pPr>
    </w:p>
    <w:p w:rsidR="00E04072" w:rsidRPr="005C69A7" w:rsidRDefault="00F878D5" w:rsidP="004408CB">
      <w:pPr>
        <w:pStyle w:val="BodyTextIndent"/>
        <w:numPr>
          <w:ilvl w:val="0"/>
          <w:numId w:val="18"/>
        </w:numPr>
        <w:ind w:left="426" w:hanging="426"/>
      </w:pPr>
      <w:r>
        <w:rPr>
          <w:b/>
        </w:rPr>
        <w:t>Cash and Cash Equivalents</w:t>
      </w:r>
    </w:p>
    <w:p w:rsidR="009652FC" w:rsidRDefault="009652FC" w:rsidP="0012218B">
      <w:pPr>
        <w:pStyle w:val="BodyTextIndent"/>
        <w:tabs>
          <w:tab w:val="left" w:pos="360"/>
          <w:tab w:val="left" w:pos="900"/>
          <w:tab w:val="left" w:pos="1350"/>
        </w:tabs>
        <w:ind w:left="0" w:firstLine="0"/>
        <w:rPr>
          <w:b/>
        </w:rPr>
      </w:pPr>
    </w:p>
    <w:p w:rsidR="009652FC" w:rsidRPr="00E07371" w:rsidRDefault="00186720" w:rsidP="004408CB">
      <w:pPr>
        <w:pStyle w:val="BodyTextIndent"/>
        <w:tabs>
          <w:tab w:val="left" w:pos="8370"/>
        </w:tabs>
        <w:ind w:left="426" w:firstLine="0"/>
      </w:pPr>
      <w:r>
        <w:t>The</w:t>
      </w:r>
      <w:r w:rsidR="009652FC" w:rsidRPr="002B7BA6">
        <w:t xml:space="preserve"> Cash in Bank – Local Currency, Current Account </w:t>
      </w:r>
      <w:r>
        <w:t xml:space="preserve">under the Special Trust Fund represents </w:t>
      </w:r>
      <w:r w:rsidR="009652FC" w:rsidRPr="002B7BA6">
        <w:t>collection</w:t>
      </w:r>
      <w:r w:rsidR="009652FC">
        <w:t>s</w:t>
      </w:r>
      <w:r w:rsidR="003357B1">
        <w:t xml:space="preserve"> </w:t>
      </w:r>
      <w:r w:rsidR="009652FC">
        <w:t>o</w:t>
      </w:r>
      <w:r w:rsidR="00411630">
        <w:t>f</w:t>
      </w:r>
      <w:r w:rsidR="009652FC" w:rsidRPr="002B7BA6">
        <w:t xml:space="preserve"> tuition and other school </w:t>
      </w:r>
      <w:r w:rsidR="009652FC">
        <w:t>fees</w:t>
      </w:r>
      <w:r w:rsidR="004408CB">
        <w:t xml:space="preserve"> </w:t>
      </w:r>
      <w:r w:rsidR="009652FC" w:rsidRPr="00E07371">
        <w:t xml:space="preserve">which the College is </w:t>
      </w:r>
      <w:r w:rsidR="004D05C6">
        <w:t xml:space="preserve">authorized to use under RA </w:t>
      </w:r>
      <w:r w:rsidR="00271736">
        <w:t xml:space="preserve">No. </w:t>
      </w:r>
      <w:r w:rsidR="004D05C6">
        <w:t>8292</w:t>
      </w:r>
      <w:r w:rsidR="009652FC" w:rsidRPr="00E07371">
        <w:t xml:space="preserve">. Bank </w:t>
      </w:r>
      <w:r w:rsidR="00411630">
        <w:t>R</w:t>
      </w:r>
      <w:r w:rsidR="009652FC" w:rsidRPr="00E07371">
        <w:t xml:space="preserve">econciliation </w:t>
      </w:r>
      <w:r w:rsidR="00271736">
        <w:t>S</w:t>
      </w:r>
      <w:r w:rsidR="009652FC" w:rsidRPr="00E07371">
        <w:t>tatements are submitted to support the ending</w:t>
      </w:r>
      <w:r w:rsidR="003357B1">
        <w:t xml:space="preserve"> </w:t>
      </w:r>
      <w:r w:rsidR="009652FC" w:rsidRPr="00E07371">
        <w:t xml:space="preserve">balances of this account as </w:t>
      </w:r>
      <w:r w:rsidR="00411630">
        <w:t>at</w:t>
      </w:r>
      <w:r w:rsidR="009652FC" w:rsidRPr="00E07371">
        <w:t xml:space="preserve"> December 31, 2016</w:t>
      </w:r>
      <w:r w:rsidR="00701C55">
        <w:t xml:space="preserve">. This </w:t>
      </w:r>
      <w:r w:rsidR="00171874">
        <w:t>consist</w:t>
      </w:r>
      <w:r w:rsidR="0078465E">
        <w:t>s</w:t>
      </w:r>
      <w:r w:rsidR="00171874">
        <w:t xml:space="preserve"> of the following accounts:</w:t>
      </w:r>
    </w:p>
    <w:p w:rsidR="00E04072" w:rsidRPr="0022171A" w:rsidRDefault="00E04072" w:rsidP="0022171A">
      <w:pPr>
        <w:pStyle w:val="BodyTextIndent"/>
        <w:tabs>
          <w:tab w:val="left" w:pos="810"/>
        </w:tabs>
        <w:ind w:left="0"/>
        <w:rPr>
          <w:b/>
        </w:rPr>
      </w:pPr>
      <w:r w:rsidRPr="0022171A">
        <w:rPr>
          <w:b/>
        </w:rPr>
        <w:tab/>
      </w: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70"/>
        <w:gridCol w:w="1800"/>
        <w:gridCol w:w="1710"/>
      </w:tblGrid>
      <w:tr w:rsidR="00CB5E48" w:rsidRPr="001F40F1" w:rsidTr="001F40F1">
        <w:trPr>
          <w:trHeight w:val="259"/>
          <w:tblHeader/>
        </w:trPr>
        <w:tc>
          <w:tcPr>
            <w:tcW w:w="4770" w:type="dxa"/>
            <w:shd w:val="clear" w:color="auto" w:fill="auto"/>
            <w:noWrap/>
            <w:vAlign w:val="center"/>
            <w:hideMark/>
          </w:tcPr>
          <w:p w:rsidR="00CB5E48" w:rsidRPr="001F40F1" w:rsidRDefault="00CB5E48" w:rsidP="00F33BF8">
            <w:pPr>
              <w:jc w:val="center"/>
              <w:rPr>
                <w:b/>
                <w:bCs/>
                <w:color w:val="000000"/>
                <w:sz w:val="22"/>
                <w:lang w:val="en-PH"/>
              </w:rPr>
            </w:pPr>
            <w:r w:rsidRPr="001F40F1">
              <w:rPr>
                <w:b/>
                <w:bCs/>
                <w:color w:val="000000"/>
                <w:sz w:val="22"/>
                <w:lang w:val="en-PH"/>
              </w:rPr>
              <w:t>Account Title</w:t>
            </w:r>
          </w:p>
        </w:tc>
        <w:tc>
          <w:tcPr>
            <w:tcW w:w="1800" w:type="dxa"/>
            <w:shd w:val="clear" w:color="auto" w:fill="auto"/>
            <w:noWrap/>
            <w:vAlign w:val="center"/>
            <w:hideMark/>
          </w:tcPr>
          <w:p w:rsidR="00CB5E48" w:rsidRPr="001F40F1" w:rsidRDefault="00CB5E48" w:rsidP="00F33BF8">
            <w:pPr>
              <w:jc w:val="center"/>
              <w:rPr>
                <w:b/>
                <w:bCs/>
                <w:color w:val="000000"/>
                <w:sz w:val="22"/>
                <w:lang w:val="en-PH"/>
              </w:rPr>
            </w:pPr>
            <w:r w:rsidRPr="001F40F1">
              <w:rPr>
                <w:b/>
                <w:bCs/>
                <w:color w:val="000000"/>
                <w:sz w:val="22"/>
                <w:lang w:val="en-PH"/>
              </w:rPr>
              <w:t>2016</w:t>
            </w:r>
          </w:p>
        </w:tc>
        <w:tc>
          <w:tcPr>
            <w:tcW w:w="1710" w:type="dxa"/>
            <w:shd w:val="clear" w:color="auto" w:fill="auto"/>
            <w:vAlign w:val="center"/>
          </w:tcPr>
          <w:p w:rsidR="00CB5E48" w:rsidRPr="001F40F1" w:rsidRDefault="00CB5E48" w:rsidP="00F33BF8">
            <w:pPr>
              <w:jc w:val="center"/>
              <w:rPr>
                <w:b/>
                <w:bCs/>
                <w:color w:val="000000"/>
                <w:sz w:val="22"/>
                <w:lang w:val="en-PH"/>
              </w:rPr>
            </w:pPr>
            <w:r w:rsidRPr="001F40F1">
              <w:rPr>
                <w:b/>
                <w:bCs/>
                <w:color w:val="000000"/>
                <w:sz w:val="22"/>
                <w:lang w:val="en-PH"/>
              </w:rPr>
              <w:t>2015</w:t>
            </w:r>
          </w:p>
        </w:tc>
      </w:tr>
      <w:tr w:rsidR="00CB5E48" w:rsidRPr="001F40F1" w:rsidTr="001F40F1">
        <w:trPr>
          <w:trHeight w:val="259"/>
        </w:trPr>
        <w:tc>
          <w:tcPr>
            <w:tcW w:w="4770" w:type="dxa"/>
            <w:shd w:val="clear" w:color="auto" w:fill="auto"/>
            <w:noWrap/>
            <w:hideMark/>
          </w:tcPr>
          <w:p w:rsidR="00CB5E48" w:rsidRPr="001F40F1" w:rsidRDefault="00AC249C" w:rsidP="002E7B64">
            <w:pPr>
              <w:rPr>
                <w:color w:val="000000"/>
                <w:sz w:val="22"/>
                <w:lang w:val="en-PH"/>
              </w:rPr>
            </w:pPr>
            <w:r w:rsidRPr="001F40F1">
              <w:rPr>
                <w:color w:val="000000"/>
                <w:sz w:val="22"/>
                <w:lang w:val="en-PH"/>
              </w:rPr>
              <w:t xml:space="preserve">Petty Cash </w:t>
            </w:r>
          </w:p>
        </w:tc>
        <w:tc>
          <w:tcPr>
            <w:tcW w:w="1800" w:type="dxa"/>
            <w:shd w:val="clear" w:color="auto" w:fill="auto"/>
            <w:noWrap/>
            <w:hideMark/>
          </w:tcPr>
          <w:p w:rsidR="00CB5E48" w:rsidRPr="001F40F1" w:rsidRDefault="00CB5E48" w:rsidP="002E7B64">
            <w:pPr>
              <w:jc w:val="right"/>
              <w:rPr>
                <w:b/>
                <w:bCs/>
                <w:color w:val="000000"/>
                <w:sz w:val="22"/>
                <w:lang w:val="en-PH"/>
              </w:rPr>
            </w:pPr>
            <w:r w:rsidRPr="001F40F1">
              <w:rPr>
                <w:color w:val="000000"/>
                <w:sz w:val="22"/>
                <w:lang w:val="en-PH"/>
              </w:rPr>
              <w:t>206,445.19</w:t>
            </w:r>
          </w:p>
        </w:tc>
        <w:tc>
          <w:tcPr>
            <w:tcW w:w="1710" w:type="dxa"/>
            <w:shd w:val="clear" w:color="auto" w:fill="auto"/>
          </w:tcPr>
          <w:p w:rsidR="00CB5E48" w:rsidRPr="001F40F1" w:rsidRDefault="00CB5E48" w:rsidP="002E7B64">
            <w:pPr>
              <w:jc w:val="right"/>
              <w:rPr>
                <w:b/>
                <w:bCs/>
                <w:strike/>
                <w:color w:val="000000"/>
                <w:sz w:val="22"/>
                <w:lang w:val="en-PH"/>
              </w:rPr>
            </w:pPr>
            <w:r w:rsidRPr="001F40F1">
              <w:rPr>
                <w:sz w:val="22"/>
              </w:rPr>
              <w:t>26,761.43</w:t>
            </w:r>
          </w:p>
        </w:tc>
      </w:tr>
      <w:tr w:rsidR="00CB5E48" w:rsidRPr="001F40F1" w:rsidTr="001F40F1">
        <w:trPr>
          <w:trHeight w:val="259"/>
        </w:trPr>
        <w:tc>
          <w:tcPr>
            <w:tcW w:w="4770" w:type="dxa"/>
            <w:shd w:val="clear" w:color="auto" w:fill="auto"/>
            <w:noWrap/>
            <w:hideMark/>
          </w:tcPr>
          <w:p w:rsidR="00CB5E48" w:rsidRPr="001F40F1" w:rsidRDefault="00CB5E48" w:rsidP="002E7B64">
            <w:pPr>
              <w:rPr>
                <w:color w:val="000000"/>
                <w:sz w:val="22"/>
                <w:lang w:val="en-PH"/>
              </w:rPr>
            </w:pPr>
            <w:r w:rsidRPr="001F40F1">
              <w:rPr>
                <w:color w:val="000000"/>
                <w:sz w:val="22"/>
                <w:lang w:val="en-PH"/>
              </w:rPr>
              <w:t xml:space="preserve">Cash in Bank- </w:t>
            </w:r>
            <w:r w:rsidR="00AC249C" w:rsidRPr="001F40F1">
              <w:rPr>
                <w:sz w:val="22"/>
              </w:rPr>
              <w:t>Local Currency, Current Account</w:t>
            </w:r>
          </w:p>
        </w:tc>
        <w:tc>
          <w:tcPr>
            <w:tcW w:w="1800" w:type="dxa"/>
            <w:shd w:val="clear" w:color="auto" w:fill="auto"/>
            <w:noWrap/>
            <w:hideMark/>
          </w:tcPr>
          <w:p w:rsidR="00CB5E48" w:rsidRPr="001F40F1" w:rsidRDefault="00CB5E48" w:rsidP="002E7B64">
            <w:pPr>
              <w:jc w:val="right"/>
              <w:rPr>
                <w:color w:val="000000"/>
                <w:sz w:val="22"/>
                <w:lang w:val="en-PH"/>
              </w:rPr>
            </w:pPr>
            <w:r w:rsidRPr="001F40F1">
              <w:rPr>
                <w:color w:val="000000"/>
                <w:sz w:val="22"/>
                <w:lang w:val="en-PH"/>
              </w:rPr>
              <w:t>272,310,451.82</w:t>
            </w:r>
          </w:p>
        </w:tc>
        <w:tc>
          <w:tcPr>
            <w:tcW w:w="1710" w:type="dxa"/>
            <w:shd w:val="clear" w:color="auto" w:fill="auto"/>
          </w:tcPr>
          <w:p w:rsidR="00CB5E48" w:rsidRPr="001F40F1" w:rsidRDefault="00CB5E48" w:rsidP="002E7B64">
            <w:pPr>
              <w:jc w:val="right"/>
              <w:rPr>
                <w:color w:val="000000"/>
                <w:sz w:val="22"/>
                <w:lang w:val="en-PH"/>
              </w:rPr>
            </w:pPr>
            <w:r w:rsidRPr="001F40F1">
              <w:rPr>
                <w:sz w:val="22"/>
              </w:rPr>
              <w:t>200,333,714.34</w:t>
            </w:r>
          </w:p>
        </w:tc>
      </w:tr>
      <w:tr w:rsidR="00CB5E48" w:rsidRPr="001F40F1" w:rsidTr="001F40F1">
        <w:trPr>
          <w:trHeight w:val="259"/>
        </w:trPr>
        <w:tc>
          <w:tcPr>
            <w:tcW w:w="4770" w:type="dxa"/>
            <w:shd w:val="clear" w:color="auto" w:fill="auto"/>
            <w:noWrap/>
            <w:hideMark/>
          </w:tcPr>
          <w:p w:rsidR="00CB5E48" w:rsidRPr="001F40F1" w:rsidRDefault="00CB5E48" w:rsidP="002E7B64">
            <w:pPr>
              <w:rPr>
                <w:color w:val="000000"/>
                <w:sz w:val="22"/>
                <w:lang w:val="en-PH"/>
              </w:rPr>
            </w:pPr>
            <w:r w:rsidRPr="001F40F1">
              <w:rPr>
                <w:color w:val="000000"/>
                <w:sz w:val="22"/>
                <w:lang w:val="en-PH"/>
              </w:rPr>
              <w:t>Cash - Treasury/ Agency Deposit, Regular</w:t>
            </w:r>
          </w:p>
        </w:tc>
        <w:tc>
          <w:tcPr>
            <w:tcW w:w="1800" w:type="dxa"/>
            <w:shd w:val="clear" w:color="auto" w:fill="auto"/>
            <w:noWrap/>
            <w:vAlign w:val="center"/>
            <w:hideMark/>
          </w:tcPr>
          <w:p w:rsidR="00CB5E48" w:rsidRPr="001F40F1" w:rsidRDefault="00CB5E48" w:rsidP="003156BE">
            <w:pPr>
              <w:jc w:val="right"/>
              <w:rPr>
                <w:color w:val="000000"/>
                <w:sz w:val="22"/>
                <w:lang w:val="en-PH"/>
              </w:rPr>
            </w:pPr>
            <w:r w:rsidRPr="001F40F1">
              <w:rPr>
                <w:color w:val="000000"/>
                <w:sz w:val="22"/>
                <w:lang w:val="en-PH"/>
              </w:rPr>
              <w:t>310,364.99</w:t>
            </w:r>
          </w:p>
        </w:tc>
        <w:tc>
          <w:tcPr>
            <w:tcW w:w="1710" w:type="dxa"/>
            <w:shd w:val="clear" w:color="auto" w:fill="auto"/>
            <w:vAlign w:val="center"/>
          </w:tcPr>
          <w:p w:rsidR="00CB5E48" w:rsidRPr="001F40F1" w:rsidRDefault="00CB5E48" w:rsidP="003156BE">
            <w:pPr>
              <w:jc w:val="right"/>
              <w:rPr>
                <w:color w:val="000000"/>
                <w:sz w:val="22"/>
                <w:lang w:val="en-PH"/>
              </w:rPr>
            </w:pPr>
            <w:r w:rsidRPr="001F40F1">
              <w:rPr>
                <w:sz w:val="22"/>
              </w:rPr>
              <w:t>137,449.53</w:t>
            </w:r>
          </w:p>
        </w:tc>
      </w:tr>
      <w:tr w:rsidR="00CB5E48" w:rsidRPr="001F40F1" w:rsidTr="001F40F1">
        <w:trPr>
          <w:trHeight w:val="170"/>
        </w:trPr>
        <w:tc>
          <w:tcPr>
            <w:tcW w:w="4770" w:type="dxa"/>
            <w:shd w:val="clear" w:color="auto" w:fill="auto"/>
            <w:noWrap/>
            <w:hideMark/>
          </w:tcPr>
          <w:p w:rsidR="00CB5E48" w:rsidRPr="001F40F1" w:rsidRDefault="00CB5E48" w:rsidP="000F45BD">
            <w:pPr>
              <w:rPr>
                <w:b/>
                <w:bCs/>
                <w:color w:val="000000"/>
                <w:sz w:val="22"/>
                <w:lang w:val="en-PH"/>
              </w:rPr>
            </w:pPr>
            <w:r w:rsidRPr="001F40F1">
              <w:rPr>
                <w:b/>
                <w:bCs/>
                <w:color w:val="000000"/>
                <w:sz w:val="22"/>
                <w:lang w:val="en-PH"/>
              </w:rPr>
              <w:t xml:space="preserve">Total </w:t>
            </w:r>
          </w:p>
        </w:tc>
        <w:tc>
          <w:tcPr>
            <w:tcW w:w="1800" w:type="dxa"/>
            <w:shd w:val="clear" w:color="auto" w:fill="auto"/>
            <w:noWrap/>
            <w:vAlign w:val="center"/>
            <w:hideMark/>
          </w:tcPr>
          <w:p w:rsidR="00CB5E48" w:rsidRPr="001F40F1" w:rsidRDefault="00CB5E48" w:rsidP="003156BE">
            <w:pPr>
              <w:jc w:val="right"/>
              <w:rPr>
                <w:b/>
                <w:bCs/>
                <w:color w:val="000000"/>
                <w:sz w:val="22"/>
                <w:lang w:val="en-PH"/>
              </w:rPr>
            </w:pPr>
            <w:r w:rsidRPr="001F40F1">
              <w:rPr>
                <w:b/>
                <w:color w:val="000000"/>
                <w:sz w:val="22"/>
                <w:lang w:val="en-PH"/>
              </w:rPr>
              <w:t>272,827,262.00</w:t>
            </w:r>
          </w:p>
        </w:tc>
        <w:tc>
          <w:tcPr>
            <w:tcW w:w="1710" w:type="dxa"/>
            <w:shd w:val="clear" w:color="auto" w:fill="auto"/>
            <w:vAlign w:val="center"/>
          </w:tcPr>
          <w:p w:rsidR="00CB5E48" w:rsidRPr="001F40F1" w:rsidRDefault="00CB5E48" w:rsidP="003156BE">
            <w:pPr>
              <w:jc w:val="right"/>
              <w:rPr>
                <w:b/>
                <w:sz w:val="22"/>
              </w:rPr>
            </w:pPr>
            <w:r w:rsidRPr="001F40F1">
              <w:rPr>
                <w:b/>
                <w:sz w:val="22"/>
              </w:rPr>
              <w:t>200,497,925.30</w:t>
            </w:r>
          </w:p>
        </w:tc>
      </w:tr>
    </w:tbl>
    <w:p w:rsidR="00F2303F" w:rsidRDefault="00F2303F" w:rsidP="0022171A">
      <w:pPr>
        <w:pStyle w:val="BodyTextIndent"/>
        <w:tabs>
          <w:tab w:val="left" w:pos="360"/>
        </w:tabs>
        <w:ind w:left="0" w:firstLine="0"/>
      </w:pPr>
    </w:p>
    <w:p w:rsidR="005358C4" w:rsidRPr="0022171A" w:rsidRDefault="00B26BB4" w:rsidP="004408CB">
      <w:pPr>
        <w:pStyle w:val="BodyTextIndent"/>
        <w:numPr>
          <w:ilvl w:val="0"/>
          <w:numId w:val="18"/>
        </w:numPr>
        <w:ind w:left="426" w:hanging="426"/>
        <w:rPr>
          <w:b/>
        </w:rPr>
      </w:pPr>
      <w:r w:rsidRPr="0022171A">
        <w:rPr>
          <w:b/>
        </w:rPr>
        <w:t>Receivables</w:t>
      </w:r>
    </w:p>
    <w:p w:rsidR="00B26BB4" w:rsidRPr="004E1FC5" w:rsidRDefault="00B26BB4" w:rsidP="0006721D">
      <w:pPr>
        <w:pStyle w:val="BodyTextIndent"/>
        <w:tabs>
          <w:tab w:val="left" w:pos="0"/>
        </w:tabs>
        <w:ind w:left="0" w:firstLine="0"/>
        <w:rPr>
          <w:sz w:val="22"/>
          <w:szCs w:val="22"/>
        </w:rPr>
      </w:pPr>
    </w:p>
    <w:p w:rsidR="0096429E" w:rsidRDefault="00C6107C" w:rsidP="004408CB">
      <w:pPr>
        <w:pStyle w:val="BodyTextIndent"/>
        <w:tabs>
          <w:tab w:val="left" w:pos="8370"/>
        </w:tabs>
        <w:ind w:left="426" w:firstLine="0"/>
        <w:rPr>
          <w:b/>
        </w:rPr>
      </w:pPr>
      <w:r w:rsidRPr="00C6107C">
        <w:t>This consists of the following accounts:</w:t>
      </w:r>
    </w:p>
    <w:p w:rsidR="0096429E" w:rsidRPr="0022171A" w:rsidRDefault="0096429E" w:rsidP="00701C55">
      <w:pPr>
        <w:pStyle w:val="BodyTextIndent"/>
        <w:tabs>
          <w:tab w:val="left" w:pos="180"/>
        </w:tabs>
        <w:ind w:left="180" w:firstLine="0"/>
        <w:rPr>
          <w:b/>
        </w:rPr>
      </w:pPr>
    </w:p>
    <w:tbl>
      <w:tblPr>
        <w:tblW w:w="823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70"/>
        <w:gridCol w:w="1800"/>
        <w:gridCol w:w="1661"/>
      </w:tblGrid>
      <w:tr w:rsidR="000D2635" w:rsidRPr="00AF13AC" w:rsidTr="001F40F1">
        <w:trPr>
          <w:trHeight w:val="259"/>
          <w:tblHeader/>
        </w:trPr>
        <w:tc>
          <w:tcPr>
            <w:tcW w:w="4770" w:type="dxa"/>
            <w:shd w:val="clear" w:color="auto" w:fill="auto"/>
            <w:vAlign w:val="center"/>
          </w:tcPr>
          <w:p w:rsidR="000D2635" w:rsidRPr="00AF13AC" w:rsidRDefault="000D2635" w:rsidP="00701C55">
            <w:pPr>
              <w:tabs>
                <w:tab w:val="left" w:pos="180"/>
              </w:tabs>
              <w:ind w:left="180"/>
              <w:jc w:val="center"/>
              <w:rPr>
                <w:b/>
                <w:bCs/>
                <w:color w:val="000000"/>
                <w:sz w:val="22"/>
                <w:szCs w:val="22"/>
                <w:lang w:val="en-PH"/>
              </w:rPr>
            </w:pPr>
            <w:r w:rsidRPr="00AF13AC">
              <w:rPr>
                <w:b/>
                <w:bCs/>
                <w:color w:val="000000"/>
                <w:sz w:val="22"/>
                <w:szCs w:val="22"/>
                <w:lang w:val="en-PH"/>
              </w:rPr>
              <w:t>Account Title</w:t>
            </w:r>
          </w:p>
        </w:tc>
        <w:tc>
          <w:tcPr>
            <w:tcW w:w="1800" w:type="dxa"/>
            <w:shd w:val="clear" w:color="auto" w:fill="auto"/>
            <w:noWrap/>
            <w:vAlign w:val="center"/>
          </w:tcPr>
          <w:p w:rsidR="000D2635" w:rsidRPr="00AF13AC" w:rsidRDefault="000D2635" w:rsidP="00701C55">
            <w:pPr>
              <w:tabs>
                <w:tab w:val="left" w:pos="180"/>
              </w:tabs>
              <w:ind w:left="180"/>
              <w:jc w:val="center"/>
              <w:rPr>
                <w:b/>
                <w:bCs/>
                <w:color w:val="000000"/>
                <w:sz w:val="22"/>
                <w:szCs w:val="22"/>
                <w:lang w:val="en-PH"/>
              </w:rPr>
            </w:pPr>
            <w:r w:rsidRPr="00AF13AC">
              <w:rPr>
                <w:b/>
                <w:bCs/>
                <w:color w:val="000000"/>
                <w:sz w:val="22"/>
                <w:szCs w:val="22"/>
                <w:lang w:val="en-PH"/>
              </w:rPr>
              <w:t>2016</w:t>
            </w:r>
          </w:p>
        </w:tc>
        <w:tc>
          <w:tcPr>
            <w:tcW w:w="1661" w:type="dxa"/>
            <w:shd w:val="clear" w:color="auto" w:fill="auto"/>
            <w:noWrap/>
            <w:vAlign w:val="center"/>
          </w:tcPr>
          <w:p w:rsidR="000D2635" w:rsidRPr="00AF13AC" w:rsidRDefault="000D2635" w:rsidP="00701C55">
            <w:pPr>
              <w:tabs>
                <w:tab w:val="left" w:pos="180"/>
              </w:tabs>
              <w:ind w:left="180"/>
              <w:jc w:val="center"/>
              <w:rPr>
                <w:b/>
                <w:bCs/>
                <w:color w:val="000000"/>
                <w:sz w:val="22"/>
                <w:szCs w:val="22"/>
                <w:lang w:val="en-PH"/>
              </w:rPr>
            </w:pPr>
            <w:r w:rsidRPr="00AF13AC">
              <w:rPr>
                <w:b/>
                <w:bCs/>
                <w:color w:val="000000"/>
                <w:sz w:val="22"/>
                <w:szCs w:val="22"/>
                <w:lang w:val="en-PH"/>
              </w:rPr>
              <w:t>2015</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color w:val="000000"/>
                <w:sz w:val="22"/>
                <w:szCs w:val="22"/>
                <w:lang w:val="en-PH"/>
              </w:rPr>
            </w:pPr>
            <w:r w:rsidRPr="00AF13AC">
              <w:rPr>
                <w:color w:val="000000"/>
                <w:sz w:val="22"/>
                <w:szCs w:val="22"/>
              </w:rPr>
              <w:t>Account Receivables</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16,935,380.56</w:t>
            </w:r>
          </w:p>
        </w:tc>
        <w:tc>
          <w:tcPr>
            <w:tcW w:w="1661"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sz w:val="22"/>
                <w:szCs w:val="22"/>
              </w:rPr>
              <w:t>11,733,099.82</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i/>
                <w:iCs/>
                <w:color w:val="000000"/>
                <w:sz w:val="22"/>
                <w:szCs w:val="22"/>
                <w:lang w:val="en-PH"/>
              </w:rPr>
            </w:pPr>
            <w:r w:rsidRPr="00AF13AC">
              <w:rPr>
                <w:i/>
                <w:iCs/>
                <w:color w:val="000000"/>
                <w:sz w:val="22"/>
                <w:szCs w:val="22"/>
              </w:rPr>
              <w:t xml:space="preserve">Allowance for Impairment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(732,658.48)</w:t>
            </w:r>
          </w:p>
        </w:tc>
        <w:tc>
          <w:tcPr>
            <w:tcW w:w="1661" w:type="dxa"/>
            <w:shd w:val="clear" w:color="auto" w:fill="auto"/>
            <w:noWrap/>
          </w:tcPr>
          <w:p w:rsidR="000D2635" w:rsidRPr="00AF13AC" w:rsidRDefault="000D2635" w:rsidP="004643A5">
            <w:pPr>
              <w:tabs>
                <w:tab w:val="left" w:pos="180"/>
              </w:tabs>
              <w:ind w:left="180"/>
              <w:jc w:val="right"/>
              <w:rPr>
                <w:sz w:val="22"/>
                <w:szCs w:val="22"/>
              </w:rPr>
            </w:pPr>
            <w:r w:rsidRPr="00AF13AC">
              <w:rPr>
                <w:sz w:val="22"/>
                <w:szCs w:val="22"/>
              </w:rPr>
              <w:t>(520,320.81)</w:t>
            </w:r>
          </w:p>
        </w:tc>
      </w:tr>
      <w:tr w:rsidR="000D2635" w:rsidRPr="00AF13AC" w:rsidTr="001F40F1">
        <w:trPr>
          <w:trHeight w:val="259"/>
        </w:trPr>
        <w:tc>
          <w:tcPr>
            <w:tcW w:w="4770" w:type="dxa"/>
            <w:shd w:val="clear" w:color="auto" w:fill="auto"/>
            <w:noWrap/>
            <w:vAlign w:val="center"/>
            <w:hideMark/>
          </w:tcPr>
          <w:p w:rsidR="000D2635" w:rsidRPr="00AF13AC" w:rsidRDefault="00B254D6" w:rsidP="00B254D6">
            <w:pPr>
              <w:rPr>
                <w:i/>
                <w:iCs/>
                <w:color w:val="000000"/>
                <w:sz w:val="22"/>
                <w:szCs w:val="22"/>
                <w:lang w:val="en-PH"/>
              </w:rPr>
            </w:pPr>
            <w:r w:rsidRPr="00AF13AC">
              <w:rPr>
                <w:i/>
                <w:iCs/>
                <w:color w:val="000000"/>
                <w:sz w:val="22"/>
                <w:szCs w:val="22"/>
              </w:rPr>
              <w:t xml:space="preserve">   Net Value- </w:t>
            </w:r>
            <w:r w:rsidR="000D2635" w:rsidRPr="00AF13AC">
              <w:rPr>
                <w:i/>
                <w:iCs/>
                <w:color w:val="000000"/>
                <w:sz w:val="22"/>
                <w:szCs w:val="22"/>
              </w:rPr>
              <w:t>Accounts Receivable</w:t>
            </w:r>
            <w:r w:rsidR="00385085" w:rsidRPr="00AF13AC">
              <w:rPr>
                <w:i/>
                <w:iCs/>
                <w:color w:val="000000"/>
                <w:sz w:val="22"/>
                <w:szCs w:val="22"/>
              </w:rPr>
              <w:t xml:space="preserve">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16,202,722.08</w:t>
            </w:r>
          </w:p>
        </w:tc>
        <w:tc>
          <w:tcPr>
            <w:tcW w:w="1661" w:type="dxa"/>
            <w:shd w:val="clear" w:color="auto" w:fill="auto"/>
            <w:noWrap/>
          </w:tcPr>
          <w:p w:rsidR="000D2635" w:rsidRPr="00AF13AC" w:rsidRDefault="000D2635" w:rsidP="004643A5">
            <w:pPr>
              <w:tabs>
                <w:tab w:val="left" w:pos="180"/>
              </w:tabs>
              <w:ind w:left="180"/>
              <w:jc w:val="right"/>
              <w:rPr>
                <w:sz w:val="22"/>
                <w:szCs w:val="22"/>
              </w:rPr>
            </w:pPr>
            <w:r w:rsidRPr="00AF13AC">
              <w:rPr>
                <w:sz w:val="22"/>
                <w:szCs w:val="22"/>
              </w:rPr>
              <w:t>11,212,779.01</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color w:val="000000"/>
                <w:sz w:val="22"/>
                <w:szCs w:val="22"/>
                <w:lang w:val="en-PH"/>
              </w:rPr>
            </w:pPr>
            <w:r w:rsidRPr="00AF13AC">
              <w:rPr>
                <w:color w:val="000000"/>
                <w:sz w:val="22"/>
                <w:szCs w:val="22"/>
              </w:rPr>
              <w:t>Loans Receivables</w:t>
            </w:r>
            <w:r w:rsidR="000E6596" w:rsidRPr="00AF13AC">
              <w:rPr>
                <w:color w:val="000000"/>
                <w:sz w:val="22"/>
                <w:szCs w:val="22"/>
              </w:rPr>
              <w:t xml:space="preserve"> - Others</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883,000.00</w:t>
            </w:r>
          </w:p>
        </w:tc>
        <w:tc>
          <w:tcPr>
            <w:tcW w:w="1661" w:type="dxa"/>
            <w:shd w:val="clear" w:color="auto" w:fill="auto"/>
            <w:noWrap/>
          </w:tcPr>
          <w:p w:rsidR="000D2635" w:rsidRPr="00AF13AC" w:rsidRDefault="000D2635" w:rsidP="004643A5">
            <w:pPr>
              <w:tabs>
                <w:tab w:val="left" w:pos="180"/>
              </w:tabs>
              <w:ind w:left="180"/>
              <w:jc w:val="right"/>
              <w:rPr>
                <w:sz w:val="22"/>
                <w:szCs w:val="22"/>
              </w:rPr>
            </w:pPr>
            <w:r w:rsidRPr="00AF13AC">
              <w:rPr>
                <w:sz w:val="22"/>
                <w:szCs w:val="22"/>
              </w:rPr>
              <w:t>886,500.00</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i/>
                <w:iCs/>
                <w:color w:val="000000"/>
                <w:sz w:val="22"/>
                <w:szCs w:val="22"/>
                <w:lang w:val="en-PH"/>
              </w:rPr>
            </w:pPr>
            <w:r w:rsidRPr="00AF13AC">
              <w:rPr>
                <w:i/>
                <w:iCs/>
                <w:color w:val="000000"/>
                <w:sz w:val="22"/>
                <w:szCs w:val="22"/>
              </w:rPr>
              <w:t xml:space="preserve">Allowance for Impairment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(44,325.00)</w:t>
            </w:r>
          </w:p>
        </w:tc>
        <w:tc>
          <w:tcPr>
            <w:tcW w:w="1661" w:type="dxa"/>
            <w:shd w:val="clear" w:color="auto" w:fill="auto"/>
            <w:noWrap/>
          </w:tcPr>
          <w:p w:rsidR="000D2635" w:rsidRPr="00AF13AC" w:rsidRDefault="000D2635" w:rsidP="004643A5">
            <w:pPr>
              <w:tabs>
                <w:tab w:val="left" w:pos="180"/>
              </w:tabs>
              <w:ind w:left="180"/>
              <w:jc w:val="right"/>
              <w:rPr>
                <w:sz w:val="22"/>
                <w:szCs w:val="22"/>
              </w:rPr>
            </w:pPr>
            <w:r w:rsidRPr="00AF13AC">
              <w:rPr>
                <w:sz w:val="22"/>
                <w:szCs w:val="22"/>
              </w:rPr>
              <w:t>(44,325.00)</w:t>
            </w:r>
          </w:p>
        </w:tc>
      </w:tr>
      <w:tr w:rsidR="000D2635" w:rsidRPr="00AF13AC" w:rsidTr="001F40F1">
        <w:trPr>
          <w:trHeight w:val="259"/>
        </w:trPr>
        <w:tc>
          <w:tcPr>
            <w:tcW w:w="4770" w:type="dxa"/>
            <w:shd w:val="clear" w:color="auto" w:fill="auto"/>
            <w:noWrap/>
            <w:vAlign w:val="center"/>
            <w:hideMark/>
          </w:tcPr>
          <w:p w:rsidR="000D2635" w:rsidRPr="00AF13AC" w:rsidRDefault="00B254D6" w:rsidP="00B254D6">
            <w:pPr>
              <w:rPr>
                <w:i/>
                <w:iCs/>
                <w:color w:val="000000"/>
                <w:sz w:val="22"/>
                <w:szCs w:val="22"/>
                <w:lang w:val="en-PH"/>
              </w:rPr>
            </w:pPr>
            <w:r w:rsidRPr="00AF13AC">
              <w:rPr>
                <w:b/>
                <w:i/>
                <w:iCs/>
                <w:color w:val="000000"/>
                <w:sz w:val="22"/>
                <w:szCs w:val="22"/>
              </w:rPr>
              <w:t xml:space="preserve">   </w:t>
            </w:r>
            <w:r w:rsidRPr="00AF13AC">
              <w:rPr>
                <w:i/>
                <w:iCs/>
                <w:color w:val="000000"/>
                <w:sz w:val="22"/>
                <w:szCs w:val="22"/>
              </w:rPr>
              <w:t xml:space="preserve">Net Value- </w:t>
            </w:r>
            <w:r w:rsidR="000D2635" w:rsidRPr="00AF13AC">
              <w:rPr>
                <w:i/>
                <w:iCs/>
                <w:color w:val="000000"/>
                <w:sz w:val="22"/>
                <w:szCs w:val="22"/>
              </w:rPr>
              <w:t>Loans Receivable</w:t>
            </w:r>
            <w:r w:rsidR="000E6596" w:rsidRPr="00AF13AC">
              <w:rPr>
                <w:i/>
                <w:iCs/>
                <w:color w:val="000000"/>
                <w:sz w:val="22"/>
                <w:szCs w:val="22"/>
              </w:rPr>
              <w:t xml:space="preserve"> - Others</w:t>
            </w:r>
            <w:r w:rsidR="00385085" w:rsidRPr="00AF13AC">
              <w:rPr>
                <w:i/>
                <w:iCs/>
                <w:color w:val="000000"/>
                <w:sz w:val="22"/>
                <w:szCs w:val="22"/>
              </w:rPr>
              <w:t xml:space="preserve">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838,675.00</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sz w:val="22"/>
                <w:szCs w:val="22"/>
              </w:rPr>
              <w:t>842,175.00</w:t>
            </w:r>
          </w:p>
        </w:tc>
      </w:tr>
      <w:tr w:rsidR="000D2635" w:rsidRPr="00AF13AC" w:rsidTr="001F40F1">
        <w:trPr>
          <w:trHeight w:val="259"/>
        </w:trPr>
        <w:tc>
          <w:tcPr>
            <w:tcW w:w="4770" w:type="dxa"/>
            <w:shd w:val="clear" w:color="auto" w:fill="auto"/>
            <w:noWrap/>
            <w:vAlign w:val="center"/>
          </w:tcPr>
          <w:p w:rsidR="000D2635" w:rsidRPr="00AF13AC" w:rsidRDefault="000D2635" w:rsidP="001F40F1">
            <w:pPr>
              <w:rPr>
                <w:color w:val="000000"/>
                <w:sz w:val="22"/>
                <w:szCs w:val="22"/>
                <w:lang w:val="en-PH"/>
              </w:rPr>
            </w:pPr>
            <w:r w:rsidRPr="00AF13AC">
              <w:rPr>
                <w:color w:val="000000"/>
                <w:sz w:val="22"/>
                <w:szCs w:val="22"/>
                <w:lang w:val="en-PH"/>
              </w:rPr>
              <w:t>Operating Lease Receivable</w:t>
            </w:r>
          </w:p>
        </w:tc>
        <w:tc>
          <w:tcPr>
            <w:tcW w:w="1800" w:type="dxa"/>
            <w:shd w:val="clear" w:color="auto" w:fill="auto"/>
            <w:noWrap/>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251,000.00</w:t>
            </w:r>
          </w:p>
        </w:tc>
        <w:tc>
          <w:tcPr>
            <w:tcW w:w="1661" w:type="dxa"/>
            <w:shd w:val="clear" w:color="auto" w:fill="auto"/>
            <w:noWrap/>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color w:val="000000"/>
                <w:sz w:val="22"/>
                <w:szCs w:val="22"/>
                <w:lang w:val="en-PH"/>
              </w:rPr>
            </w:pPr>
            <w:r w:rsidRPr="00AF13AC">
              <w:rPr>
                <w:color w:val="000000"/>
                <w:sz w:val="22"/>
                <w:szCs w:val="22"/>
                <w:lang w:val="en-PH"/>
              </w:rPr>
              <w:lastRenderedPageBreak/>
              <w:t>Inter</w:t>
            </w:r>
            <w:r w:rsidR="000E6596" w:rsidRPr="00AF13AC">
              <w:rPr>
                <w:color w:val="000000"/>
                <w:sz w:val="22"/>
                <w:szCs w:val="22"/>
                <w:lang w:val="en-PH"/>
              </w:rPr>
              <w:t xml:space="preserve"> </w:t>
            </w:r>
            <w:r w:rsidRPr="00AF13AC">
              <w:rPr>
                <w:color w:val="000000"/>
                <w:sz w:val="22"/>
                <w:szCs w:val="22"/>
                <w:lang w:val="en-PH"/>
              </w:rPr>
              <w:t>-</w:t>
            </w:r>
            <w:r w:rsidR="000E6596" w:rsidRPr="00AF13AC">
              <w:rPr>
                <w:color w:val="000000"/>
                <w:sz w:val="22"/>
                <w:szCs w:val="22"/>
                <w:lang w:val="en-PH"/>
              </w:rPr>
              <w:t xml:space="preserve"> </w:t>
            </w:r>
            <w:r w:rsidRPr="00AF13AC">
              <w:rPr>
                <w:color w:val="000000"/>
                <w:sz w:val="22"/>
                <w:szCs w:val="22"/>
                <w:lang w:val="en-PH"/>
              </w:rPr>
              <w:t>Agency Receivables</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10,672,016.70</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sz w:val="22"/>
                <w:szCs w:val="22"/>
              </w:rPr>
              <w:t>18,237,342.73</w:t>
            </w:r>
          </w:p>
        </w:tc>
      </w:tr>
      <w:tr w:rsidR="000D2635" w:rsidRPr="00AF13AC" w:rsidTr="001F40F1">
        <w:trPr>
          <w:trHeight w:val="259"/>
        </w:trPr>
        <w:tc>
          <w:tcPr>
            <w:tcW w:w="4770" w:type="dxa"/>
            <w:shd w:val="clear" w:color="auto" w:fill="auto"/>
            <w:noWrap/>
            <w:vAlign w:val="center"/>
            <w:hideMark/>
          </w:tcPr>
          <w:p w:rsidR="000D2635" w:rsidRPr="00AF13AC" w:rsidRDefault="00B254D6" w:rsidP="001F40F1">
            <w:pPr>
              <w:rPr>
                <w:color w:val="000000"/>
                <w:sz w:val="22"/>
                <w:szCs w:val="22"/>
                <w:lang w:val="en-PH"/>
              </w:rPr>
            </w:pPr>
            <w:r w:rsidRPr="00AF13AC">
              <w:rPr>
                <w:color w:val="000000"/>
                <w:sz w:val="22"/>
                <w:szCs w:val="22"/>
              </w:rPr>
              <w:t>Receivables</w:t>
            </w:r>
            <w:r w:rsidR="000D2635" w:rsidRPr="00AF13AC">
              <w:rPr>
                <w:color w:val="000000"/>
                <w:sz w:val="22"/>
                <w:szCs w:val="22"/>
              </w:rPr>
              <w:t xml:space="preserve"> - Disallowances/Charges</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580,096.79</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sz w:val="22"/>
                <w:szCs w:val="22"/>
              </w:rPr>
              <w:t>580,096.79</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color w:val="000000"/>
                <w:sz w:val="22"/>
                <w:szCs w:val="22"/>
                <w:lang w:val="en-PH"/>
              </w:rPr>
            </w:pPr>
            <w:r w:rsidRPr="00AF13AC">
              <w:rPr>
                <w:color w:val="000000"/>
                <w:sz w:val="22"/>
                <w:szCs w:val="22"/>
              </w:rPr>
              <w:t>Other Receivables</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1,189,307.75</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sz w:val="22"/>
                <w:szCs w:val="22"/>
              </w:rPr>
              <w:t>1,189,307.75</w:t>
            </w:r>
          </w:p>
        </w:tc>
      </w:tr>
      <w:tr w:rsidR="000D2635" w:rsidRPr="00AF13AC" w:rsidTr="001F40F1">
        <w:trPr>
          <w:trHeight w:val="259"/>
        </w:trPr>
        <w:tc>
          <w:tcPr>
            <w:tcW w:w="4770" w:type="dxa"/>
            <w:shd w:val="clear" w:color="auto" w:fill="auto"/>
            <w:noWrap/>
            <w:vAlign w:val="center"/>
            <w:hideMark/>
          </w:tcPr>
          <w:p w:rsidR="000D2635" w:rsidRPr="00AF13AC" w:rsidRDefault="000D2635" w:rsidP="001F40F1">
            <w:pPr>
              <w:rPr>
                <w:i/>
                <w:iCs/>
                <w:color w:val="000000"/>
                <w:sz w:val="22"/>
                <w:szCs w:val="22"/>
                <w:lang w:val="en-PH"/>
              </w:rPr>
            </w:pPr>
            <w:r w:rsidRPr="00AF13AC">
              <w:rPr>
                <w:i/>
                <w:iCs/>
                <w:color w:val="000000"/>
                <w:sz w:val="22"/>
                <w:szCs w:val="22"/>
              </w:rPr>
              <w:t xml:space="preserve">Allowance for Impairment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(46,315.39)</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sz w:val="22"/>
                <w:szCs w:val="22"/>
              </w:rPr>
              <w:t>(46,315.39)</w:t>
            </w:r>
          </w:p>
        </w:tc>
      </w:tr>
      <w:tr w:rsidR="000D2635" w:rsidRPr="00AF13AC" w:rsidTr="001F40F1">
        <w:trPr>
          <w:trHeight w:val="259"/>
        </w:trPr>
        <w:tc>
          <w:tcPr>
            <w:tcW w:w="4770" w:type="dxa"/>
            <w:shd w:val="clear" w:color="auto" w:fill="auto"/>
            <w:noWrap/>
            <w:vAlign w:val="center"/>
            <w:hideMark/>
          </w:tcPr>
          <w:p w:rsidR="000D2635" w:rsidRPr="00AF13AC" w:rsidRDefault="00B254D6" w:rsidP="00B254D6">
            <w:pPr>
              <w:rPr>
                <w:i/>
                <w:iCs/>
                <w:color w:val="000000"/>
                <w:sz w:val="22"/>
                <w:szCs w:val="22"/>
                <w:lang w:val="en-PH"/>
              </w:rPr>
            </w:pPr>
            <w:r w:rsidRPr="00AF13AC">
              <w:rPr>
                <w:i/>
                <w:iCs/>
                <w:color w:val="000000"/>
                <w:sz w:val="22"/>
                <w:szCs w:val="22"/>
                <w:lang w:val="en-PH"/>
              </w:rPr>
              <w:t xml:space="preserve">   Net Value- </w:t>
            </w:r>
            <w:r w:rsidR="000D2635" w:rsidRPr="00AF13AC">
              <w:rPr>
                <w:i/>
                <w:iCs/>
                <w:color w:val="000000"/>
                <w:sz w:val="22"/>
                <w:szCs w:val="22"/>
                <w:lang w:val="en-PH"/>
              </w:rPr>
              <w:t>Other Receivables</w:t>
            </w:r>
            <w:r w:rsidR="00816EA9" w:rsidRPr="00AF13AC">
              <w:rPr>
                <w:i/>
                <w:iCs/>
                <w:color w:val="000000"/>
                <w:sz w:val="22"/>
                <w:szCs w:val="22"/>
                <w:lang w:val="en-PH"/>
              </w:rPr>
              <w:t xml:space="preserve"> </w:t>
            </w:r>
          </w:p>
        </w:tc>
        <w:tc>
          <w:tcPr>
            <w:tcW w:w="1800" w:type="dxa"/>
            <w:shd w:val="clear" w:color="auto" w:fill="auto"/>
            <w:noWrap/>
            <w:hideMark/>
          </w:tcPr>
          <w:p w:rsidR="000D2635" w:rsidRPr="00AF13AC" w:rsidRDefault="000D2635" w:rsidP="004643A5">
            <w:pPr>
              <w:tabs>
                <w:tab w:val="left" w:pos="180"/>
              </w:tabs>
              <w:ind w:left="180"/>
              <w:jc w:val="right"/>
              <w:rPr>
                <w:color w:val="000000"/>
                <w:sz w:val="22"/>
                <w:szCs w:val="22"/>
                <w:lang w:val="en-PH"/>
              </w:rPr>
            </w:pPr>
            <w:r w:rsidRPr="00AF13AC">
              <w:rPr>
                <w:color w:val="000000"/>
                <w:sz w:val="22"/>
                <w:szCs w:val="22"/>
                <w:lang w:val="en-PH"/>
              </w:rPr>
              <w:t>1,142,992.36</w:t>
            </w:r>
          </w:p>
        </w:tc>
        <w:tc>
          <w:tcPr>
            <w:tcW w:w="1661" w:type="dxa"/>
            <w:shd w:val="clear" w:color="auto" w:fill="auto"/>
            <w:noWrap/>
            <w:hideMark/>
          </w:tcPr>
          <w:p w:rsidR="000D2635" w:rsidRPr="00AF13AC" w:rsidRDefault="000D2635" w:rsidP="004643A5">
            <w:pPr>
              <w:tabs>
                <w:tab w:val="left" w:pos="180"/>
              </w:tabs>
              <w:ind w:left="180"/>
              <w:jc w:val="right"/>
              <w:rPr>
                <w:sz w:val="22"/>
                <w:szCs w:val="22"/>
              </w:rPr>
            </w:pPr>
            <w:r w:rsidRPr="00AF13AC">
              <w:rPr>
                <w:color w:val="000000"/>
                <w:sz w:val="22"/>
                <w:szCs w:val="22"/>
                <w:lang w:val="en-PH"/>
              </w:rPr>
              <w:t>1,142,992.36</w:t>
            </w:r>
          </w:p>
        </w:tc>
      </w:tr>
      <w:tr w:rsidR="000D2635" w:rsidRPr="001F40F1" w:rsidTr="001F40F1">
        <w:trPr>
          <w:trHeight w:val="259"/>
        </w:trPr>
        <w:tc>
          <w:tcPr>
            <w:tcW w:w="4770" w:type="dxa"/>
            <w:shd w:val="clear" w:color="auto" w:fill="auto"/>
            <w:noWrap/>
            <w:vAlign w:val="center"/>
            <w:hideMark/>
          </w:tcPr>
          <w:p w:rsidR="000D2635" w:rsidRPr="00AF13AC" w:rsidRDefault="000D2635" w:rsidP="001F40F1">
            <w:pPr>
              <w:rPr>
                <w:b/>
                <w:bCs/>
                <w:color w:val="000000"/>
                <w:sz w:val="22"/>
                <w:szCs w:val="22"/>
                <w:lang w:val="en-PH"/>
              </w:rPr>
            </w:pPr>
            <w:r w:rsidRPr="00AF13AC">
              <w:rPr>
                <w:b/>
                <w:bCs/>
                <w:color w:val="000000"/>
                <w:sz w:val="22"/>
                <w:szCs w:val="22"/>
                <w:lang w:val="en-PH"/>
              </w:rPr>
              <w:t>Total</w:t>
            </w:r>
          </w:p>
        </w:tc>
        <w:tc>
          <w:tcPr>
            <w:tcW w:w="1800" w:type="dxa"/>
            <w:shd w:val="clear" w:color="auto" w:fill="auto"/>
            <w:noWrap/>
            <w:vAlign w:val="center"/>
            <w:hideMark/>
          </w:tcPr>
          <w:p w:rsidR="000D2635" w:rsidRPr="00AF13AC" w:rsidRDefault="000D2635" w:rsidP="00B254D6">
            <w:pPr>
              <w:tabs>
                <w:tab w:val="left" w:pos="180"/>
              </w:tabs>
              <w:ind w:left="180"/>
              <w:jc w:val="right"/>
              <w:rPr>
                <w:b/>
                <w:color w:val="000000"/>
                <w:sz w:val="22"/>
                <w:szCs w:val="22"/>
                <w:lang w:val="en-PH"/>
              </w:rPr>
            </w:pPr>
            <w:r w:rsidRPr="00AF13AC">
              <w:rPr>
                <w:b/>
                <w:color w:val="000000"/>
                <w:sz w:val="22"/>
                <w:szCs w:val="22"/>
                <w:lang w:val="en-PH"/>
              </w:rPr>
              <w:t>29,687,502.93</w:t>
            </w:r>
          </w:p>
        </w:tc>
        <w:tc>
          <w:tcPr>
            <w:tcW w:w="1661" w:type="dxa"/>
            <w:shd w:val="clear" w:color="auto" w:fill="auto"/>
            <w:noWrap/>
            <w:vAlign w:val="center"/>
            <w:hideMark/>
          </w:tcPr>
          <w:p w:rsidR="000D2635" w:rsidRPr="001F40F1" w:rsidRDefault="000D2635" w:rsidP="000F45BD">
            <w:pPr>
              <w:tabs>
                <w:tab w:val="left" w:pos="180"/>
              </w:tabs>
              <w:ind w:left="180"/>
              <w:jc w:val="center"/>
              <w:rPr>
                <w:sz w:val="22"/>
                <w:szCs w:val="22"/>
              </w:rPr>
            </w:pPr>
            <w:r w:rsidRPr="00AF13AC">
              <w:rPr>
                <w:b/>
                <w:sz w:val="22"/>
                <w:szCs w:val="22"/>
              </w:rPr>
              <w:t>32,015,385.89</w:t>
            </w:r>
          </w:p>
        </w:tc>
      </w:tr>
    </w:tbl>
    <w:p w:rsidR="003B64FF" w:rsidRPr="004408CB" w:rsidRDefault="003B64FF" w:rsidP="00701C55">
      <w:pPr>
        <w:pStyle w:val="BodyTextIndent"/>
        <w:tabs>
          <w:tab w:val="left" w:pos="180"/>
          <w:tab w:val="left" w:pos="360"/>
          <w:tab w:val="left" w:pos="540"/>
        </w:tabs>
        <w:ind w:left="180" w:firstLine="0"/>
        <w:rPr>
          <w:sz w:val="18"/>
          <w:szCs w:val="18"/>
        </w:rPr>
      </w:pPr>
    </w:p>
    <w:p w:rsidR="00F22E52" w:rsidRPr="00044E2B" w:rsidRDefault="00F22E52" w:rsidP="004408CB">
      <w:pPr>
        <w:pStyle w:val="BodyTextIndent"/>
        <w:tabs>
          <w:tab w:val="left" w:pos="8370"/>
        </w:tabs>
        <w:ind w:left="426" w:firstLine="0"/>
        <w:rPr>
          <w:szCs w:val="24"/>
        </w:rPr>
      </w:pPr>
      <w:r w:rsidRPr="00940833">
        <w:t>The</w:t>
      </w:r>
      <w:r w:rsidRPr="00044E2B">
        <w:rPr>
          <w:szCs w:val="24"/>
        </w:rPr>
        <w:t xml:space="preserve"> Accounts Receivable account represents c</w:t>
      </w:r>
      <w:r w:rsidR="005F52A5">
        <w:rPr>
          <w:szCs w:val="24"/>
        </w:rPr>
        <w:t>ollect</w:t>
      </w:r>
      <w:r w:rsidR="00DE0A96">
        <w:rPr>
          <w:szCs w:val="24"/>
        </w:rPr>
        <w:t>a</w:t>
      </w:r>
      <w:r w:rsidR="005F52A5">
        <w:rPr>
          <w:szCs w:val="24"/>
        </w:rPr>
        <w:t xml:space="preserve">bles </w:t>
      </w:r>
      <w:r w:rsidRPr="00044E2B">
        <w:rPr>
          <w:szCs w:val="24"/>
        </w:rPr>
        <w:t>for tuition and other school fees from students.</w:t>
      </w:r>
    </w:p>
    <w:p w:rsidR="00F22E52" w:rsidRPr="004408CB" w:rsidRDefault="00F22E52" w:rsidP="00701C55">
      <w:pPr>
        <w:tabs>
          <w:tab w:val="left" w:pos="180"/>
        </w:tabs>
        <w:ind w:left="180"/>
        <w:jc w:val="both"/>
        <w:rPr>
          <w:sz w:val="18"/>
          <w:szCs w:val="18"/>
        </w:rPr>
      </w:pPr>
    </w:p>
    <w:p w:rsidR="00F22E52" w:rsidRPr="00E07371" w:rsidRDefault="00F22E52" w:rsidP="004408CB">
      <w:pPr>
        <w:pStyle w:val="BodyTextIndent"/>
        <w:tabs>
          <w:tab w:val="left" w:pos="8370"/>
        </w:tabs>
        <w:ind w:left="426" w:firstLine="0"/>
        <w:rPr>
          <w:szCs w:val="24"/>
        </w:rPr>
      </w:pPr>
      <w:r w:rsidRPr="00940833">
        <w:t>The</w:t>
      </w:r>
      <w:r w:rsidRPr="00E07371">
        <w:rPr>
          <w:szCs w:val="24"/>
        </w:rPr>
        <w:t xml:space="preserve"> Loans Receivable </w:t>
      </w:r>
      <w:r w:rsidR="000E6596">
        <w:rPr>
          <w:szCs w:val="24"/>
        </w:rPr>
        <w:t>-</w:t>
      </w:r>
      <w:r w:rsidRPr="00E07371">
        <w:rPr>
          <w:szCs w:val="24"/>
        </w:rPr>
        <w:t xml:space="preserve"> Others account represents outstanding balance of loans granted to students out of funds provided by the CHED through its Student Finan</w:t>
      </w:r>
      <w:r w:rsidR="00010E8C">
        <w:rPr>
          <w:szCs w:val="24"/>
        </w:rPr>
        <w:t>cial Assistance Program.</w:t>
      </w:r>
    </w:p>
    <w:p w:rsidR="00F22E52" w:rsidRPr="004408CB" w:rsidRDefault="00F22E52" w:rsidP="00701C55">
      <w:pPr>
        <w:tabs>
          <w:tab w:val="left" w:pos="180"/>
        </w:tabs>
        <w:ind w:left="180"/>
        <w:jc w:val="both"/>
        <w:rPr>
          <w:sz w:val="18"/>
          <w:szCs w:val="18"/>
        </w:rPr>
      </w:pPr>
    </w:p>
    <w:p w:rsidR="001F6AA8" w:rsidRDefault="0010584E" w:rsidP="004408CB">
      <w:pPr>
        <w:pStyle w:val="BodyTextIndent"/>
        <w:tabs>
          <w:tab w:val="left" w:pos="8370"/>
        </w:tabs>
        <w:ind w:left="426" w:firstLine="0"/>
        <w:rPr>
          <w:szCs w:val="24"/>
        </w:rPr>
      </w:pPr>
      <w:r w:rsidRPr="00940833">
        <w:t>The</w:t>
      </w:r>
      <w:r w:rsidR="00B254D6">
        <w:t xml:space="preserve"> </w:t>
      </w:r>
      <w:r w:rsidR="00784AA7">
        <w:rPr>
          <w:szCs w:val="24"/>
        </w:rPr>
        <w:t>O</w:t>
      </w:r>
      <w:r w:rsidRPr="00E07371">
        <w:rPr>
          <w:szCs w:val="24"/>
        </w:rPr>
        <w:t xml:space="preserve">perating </w:t>
      </w:r>
      <w:r w:rsidR="00784AA7">
        <w:rPr>
          <w:szCs w:val="24"/>
        </w:rPr>
        <w:t>L</w:t>
      </w:r>
      <w:r w:rsidRPr="00E07371">
        <w:rPr>
          <w:szCs w:val="24"/>
        </w:rPr>
        <w:t xml:space="preserve">ease </w:t>
      </w:r>
      <w:r w:rsidR="00784AA7">
        <w:rPr>
          <w:szCs w:val="24"/>
        </w:rPr>
        <w:t>R</w:t>
      </w:r>
      <w:r w:rsidR="007843CA">
        <w:rPr>
          <w:szCs w:val="24"/>
        </w:rPr>
        <w:t xml:space="preserve">eceivables </w:t>
      </w:r>
      <w:r w:rsidR="00FC56A5" w:rsidRPr="00AF13AC">
        <w:rPr>
          <w:szCs w:val="24"/>
        </w:rPr>
        <w:t>account</w:t>
      </w:r>
      <w:r w:rsidR="00FC56A5">
        <w:rPr>
          <w:szCs w:val="24"/>
        </w:rPr>
        <w:t xml:space="preserve"> </w:t>
      </w:r>
      <w:r w:rsidR="007843CA">
        <w:rPr>
          <w:szCs w:val="24"/>
        </w:rPr>
        <w:t>represents</w:t>
      </w:r>
      <w:r w:rsidRPr="00E07371">
        <w:rPr>
          <w:szCs w:val="24"/>
        </w:rPr>
        <w:t xml:space="preserve"> r</w:t>
      </w:r>
      <w:r w:rsidR="00255927">
        <w:rPr>
          <w:szCs w:val="24"/>
        </w:rPr>
        <w:t>ental income</w:t>
      </w:r>
      <w:r w:rsidRPr="00E07371">
        <w:rPr>
          <w:szCs w:val="24"/>
        </w:rPr>
        <w:t xml:space="preserve"> due from concessionaires</w:t>
      </w:r>
      <w:r w:rsidR="00B254D6">
        <w:rPr>
          <w:szCs w:val="24"/>
        </w:rPr>
        <w:t>.</w:t>
      </w:r>
    </w:p>
    <w:p w:rsidR="001F6AA8" w:rsidRPr="004408CB" w:rsidRDefault="001F6AA8" w:rsidP="00701C55">
      <w:pPr>
        <w:tabs>
          <w:tab w:val="left" w:pos="180"/>
        </w:tabs>
        <w:ind w:left="180"/>
        <w:jc w:val="both"/>
        <w:rPr>
          <w:sz w:val="18"/>
          <w:szCs w:val="18"/>
        </w:rPr>
      </w:pPr>
    </w:p>
    <w:p w:rsidR="001F634C" w:rsidRPr="00E07371" w:rsidRDefault="00F22E52" w:rsidP="004408CB">
      <w:pPr>
        <w:pStyle w:val="BodyTextIndent"/>
        <w:tabs>
          <w:tab w:val="left" w:pos="8370"/>
        </w:tabs>
        <w:ind w:left="426" w:firstLine="0"/>
        <w:rPr>
          <w:szCs w:val="24"/>
        </w:rPr>
      </w:pPr>
      <w:r w:rsidRPr="00E07371">
        <w:rPr>
          <w:szCs w:val="24"/>
        </w:rPr>
        <w:t>The Inter</w:t>
      </w:r>
      <w:r w:rsidR="000E6596">
        <w:rPr>
          <w:szCs w:val="24"/>
        </w:rPr>
        <w:t xml:space="preserve"> </w:t>
      </w:r>
      <w:r w:rsidRPr="00E07371">
        <w:rPr>
          <w:szCs w:val="24"/>
        </w:rPr>
        <w:t>-</w:t>
      </w:r>
      <w:r w:rsidR="000E6596">
        <w:rPr>
          <w:szCs w:val="24"/>
        </w:rPr>
        <w:t xml:space="preserve"> </w:t>
      </w:r>
      <w:r w:rsidRPr="00E07371">
        <w:rPr>
          <w:szCs w:val="24"/>
        </w:rPr>
        <w:t>Agency Receivables comprise</w:t>
      </w:r>
      <w:r w:rsidR="007F18B5" w:rsidRPr="00E07371">
        <w:rPr>
          <w:szCs w:val="24"/>
        </w:rPr>
        <w:t xml:space="preserve">d of the Due from </w:t>
      </w:r>
      <w:r w:rsidR="00B43765">
        <w:rPr>
          <w:szCs w:val="24"/>
        </w:rPr>
        <w:t>National Government Agencies</w:t>
      </w:r>
      <w:r w:rsidR="008C04BD">
        <w:rPr>
          <w:szCs w:val="24"/>
        </w:rPr>
        <w:t xml:space="preserve"> </w:t>
      </w:r>
      <w:r w:rsidR="008C04BD" w:rsidRPr="00E07371">
        <w:rPr>
          <w:szCs w:val="24"/>
        </w:rPr>
        <w:t xml:space="preserve">account </w:t>
      </w:r>
      <w:r w:rsidRPr="00E07371">
        <w:rPr>
          <w:szCs w:val="24"/>
        </w:rPr>
        <w:t>represents advance payments made to the DBM-Procurement Service</w:t>
      </w:r>
      <w:r w:rsidR="00B254D6">
        <w:rPr>
          <w:szCs w:val="24"/>
        </w:rPr>
        <w:t xml:space="preserve"> </w:t>
      </w:r>
      <w:r w:rsidR="00D14D21" w:rsidRPr="00E07371">
        <w:rPr>
          <w:szCs w:val="24"/>
        </w:rPr>
        <w:t xml:space="preserve">or the purchase of commonly used office supplies and equipment, and undelivered supplies/materials as of year-end. It also represents advance payments made to the National Printing Office for the supply and delivery of 300 stubs of official receipts, and to the Department of Public Works </w:t>
      </w:r>
      <w:r w:rsidR="00495D58">
        <w:rPr>
          <w:szCs w:val="24"/>
        </w:rPr>
        <w:t>and</w:t>
      </w:r>
      <w:r w:rsidR="00D14D21" w:rsidRPr="00E07371">
        <w:rPr>
          <w:szCs w:val="24"/>
        </w:rPr>
        <w:t xml:space="preserve"> Highways fo</w:t>
      </w:r>
      <w:r w:rsidR="009E3D6D" w:rsidRPr="00E07371">
        <w:rPr>
          <w:szCs w:val="24"/>
        </w:rPr>
        <w:t xml:space="preserve">r the fencing of </w:t>
      </w:r>
      <w:proofErr w:type="spellStart"/>
      <w:r w:rsidR="009E3D6D" w:rsidRPr="00E07371">
        <w:rPr>
          <w:szCs w:val="24"/>
        </w:rPr>
        <w:t>Palmayo</w:t>
      </w:r>
      <w:proofErr w:type="spellEnd"/>
      <w:r w:rsidR="009E3D6D" w:rsidRPr="00E07371">
        <w:rPr>
          <w:szCs w:val="24"/>
        </w:rPr>
        <w:t xml:space="preserve"> Campus in </w:t>
      </w:r>
      <w:proofErr w:type="spellStart"/>
      <w:r w:rsidR="009E3D6D" w:rsidRPr="00E07371">
        <w:rPr>
          <w:szCs w:val="24"/>
        </w:rPr>
        <w:t>Floridablanca</w:t>
      </w:r>
      <w:proofErr w:type="spellEnd"/>
      <w:r w:rsidR="009E3D6D" w:rsidRPr="00E07371">
        <w:rPr>
          <w:szCs w:val="24"/>
        </w:rPr>
        <w:t>, Pampanga.</w:t>
      </w:r>
    </w:p>
    <w:p w:rsidR="00E07371" w:rsidRPr="004408CB" w:rsidRDefault="00E07371" w:rsidP="00701C55">
      <w:pPr>
        <w:tabs>
          <w:tab w:val="left" w:pos="180"/>
        </w:tabs>
        <w:ind w:left="180"/>
        <w:jc w:val="both"/>
        <w:rPr>
          <w:sz w:val="18"/>
          <w:szCs w:val="18"/>
        </w:rPr>
      </w:pPr>
    </w:p>
    <w:p w:rsidR="00F22E52" w:rsidRPr="00E07371" w:rsidRDefault="00F22E52" w:rsidP="004408CB">
      <w:pPr>
        <w:pStyle w:val="BodyTextIndent"/>
        <w:tabs>
          <w:tab w:val="left" w:pos="8370"/>
        </w:tabs>
        <w:ind w:left="426" w:firstLine="0"/>
        <w:rPr>
          <w:szCs w:val="24"/>
        </w:rPr>
      </w:pPr>
      <w:r w:rsidRPr="00E07371">
        <w:rPr>
          <w:szCs w:val="24"/>
        </w:rPr>
        <w:t xml:space="preserve">The Receivables </w:t>
      </w:r>
      <w:r w:rsidR="000E6596">
        <w:rPr>
          <w:szCs w:val="24"/>
        </w:rPr>
        <w:t>-</w:t>
      </w:r>
      <w:r w:rsidR="00925999">
        <w:rPr>
          <w:szCs w:val="24"/>
        </w:rPr>
        <w:t xml:space="preserve"> </w:t>
      </w:r>
      <w:r w:rsidRPr="00E07371">
        <w:rPr>
          <w:szCs w:val="24"/>
        </w:rPr>
        <w:t xml:space="preserve">Disallowances and Charges </w:t>
      </w:r>
      <w:r w:rsidR="008C04BD" w:rsidRPr="00AF13AC">
        <w:rPr>
          <w:szCs w:val="24"/>
        </w:rPr>
        <w:t>account</w:t>
      </w:r>
      <w:r w:rsidR="008C04BD" w:rsidRPr="00E07371">
        <w:rPr>
          <w:szCs w:val="24"/>
        </w:rPr>
        <w:t xml:space="preserve"> </w:t>
      </w:r>
      <w:r w:rsidRPr="00E07371">
        <w:rPr>
          <w:szCs w:val="24"/>
        </w:rPr>
        <w:t xml:space="preserve">represents amount due from employees resulting from audit disallowances which had become final and executory, while </w:t>
      </w:r>
      <w:r w:rsidR="00B254D6">
        <w:rPr>
          <w:szCs w:val="24"/>
        </w:rPr>
        <w:t xml:space="preserve">the </w:t>
      </w:r>
      <w:r w:rsidR="00B254D6" w:rsidRPr="00AF13AC">
        <w:rPr>
          <w:szCs w:val="24"/>
        </w:rPr>
        <w:t>Other Receivables</w:t>
      </w:r>
      <w:r w:rsidR="008C04BD" w:rsidRPr="00AF13AC">
        <w:rPr>
          <w:szCs w:val="24"/>
        </w:rPr>
        <w:t xml:space="preserve"> account</w:t>
      </w:r>
      <w:r w:rsidRPr="00E07371">
        <w:rPr>
          <w:szCs w:val="24"/>
        </w:rPr>
        <w:t xml:space="preserve"> includes past due and other receivables.</w:t>
      </w:r>
    </w:p>
    <w:p w:rsidR="00502A95" w:rsidRPr="004408CB" w:rsidRDefault="00502A95" w:rsidP="004408CB">
      <w:pPr>
        <w:tabs>
          <w:tab w:val="left" w:pos="180"/>
          <w:tab w:val="left" w:pos="360"/>
          <w:tab w:val="left" w:pos="720"/>
        </w:tabs>
        <w:ind w:left="426"/>
        <w:jc w:val="both"/>
        <w:rPr>
          <w:sz w:val="18"/>
          <w:szCs w:val="18"/>
        </w:rPr>
      </w:pPr>
    </w:p>
    <w:p w:rsidR="003B64FF" w:rsidRPr="00BF35EA" w:rsidRDefault="00234E56" w:rsidP="004408CB">
      <w:pPr>
        <w:pStyle w:val="BodyTextIndent"/>
        <w:tabs>
          <w:tab w:val="left" w:pos="8370"/>
        </w:tabs>
        <w:ind w:left="426" w:firstLine="0"/>
        <w:rPr>
          <w:szCs w:val="24"/>
        </w:rPr>
      </w:pPr>
      <w:r>
        <w:rPr>
          <w:szCs w:val="24"/>
        </w:rPr>
        <w:t>The a</w:t>
      </w:r>
      <w:r w:rsidR="00701C55">
        <w:rPr>
          <w:szCs w:val="24"/>
        </w:rPr>
        <w:t>ging/</w:t>
      </w:r>
      <w:r>
        <w:rPr>
          <w:szCs w:val="24"/>
        </w:rPr>
        <w:t>a</w:t>
      </w:r>
      <w:r w:rsidR="00C71240" w:rsidRPr="00BF35EA">
        <w:rPr>
          <w:szCs w:val="24"/>
        </w:rPr>
        <w:t>nalysis of Receivables</w:t>
      </w:r>
      <w:r w:rsidR="00BF35EA">
        <w:rPr>
          <w:szCs w:val="24"/>
        </w:rPr>
        <w:t xml:space="preserve"> is as follows:</w:t>
      </w:r>
    </w:p>
    <w:p w:rsidR="00C71240" w:rsidRPr="004408CB" w:rsidRDefault="00C71240" w:rsidP="00701C55">
      <w:pPr>
        <w:tabs>
          <w:tab w:val="left" w:pos="180"/>
          <w:tab w:val="left" w:pos="360"/>
          <w:tab w:val="left" w:pos="720"/>
        </w:tabs>
        <w:ind w:left="180"/>
        <w:jc w:val="both"/>
        <w:rPr>
          <w:b/>
          <w:sz w:val="18"/>
          <w:szCs w:val="18"/>
        </w:rPr>
      </w:pPr>
    </w:p>
    <w:tbl>
      <w:tblPr>
        <w:tblW w:w="8231"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30"/>
        <w:gridCol w:w="1661"/>
        <w:gridCol w:w="1579"/>
        <w:gridCol w:w="1661"/>
      </w:tblGrid>
      <w:tr w:rsidR="001F40F1" w:rsidRPr="001F40F1" w:rsidTr="00BB1DA9">
        <w:trPr>
          <w:trHeight w:hRule="exact" w:val="355"/>
          <w:tblHeader/>
        </w:trPr>
        <w:tc>
          <w:tcPr>
            <w:tcW w:w="3330" w:type="dxa"/>
            <w:vMerge w:val="restart"/>
            <w:shd w:val="clear" w:color="auto" w:fill="auto"/>
            <w:vAlign w:val="center"/>
            <w:hideMark/>
          </w:tcPr>
          <w:p w:rsidR="001F40F1" w:rsidRPr="001F40F1" w:rsidRDefault="001F40F1" w:rsidP="000F45BD">
            <w:pPr>
              <w:tabs>
                <w:tab w:val="left" w:pos="180"/>
              </w:tabs>
              <w:ind w:left="180"/>
              <w:rPr>
                <w:b/>
                <w:bCs/>
                <w:iCs/>
                <w:color w:val="000000"/>
                <w:sz w:val="22"/>
                <w:lang w:val="en-PH"/>
              </w:rPr>
            </w:pPr>
            <w:r w:rsidRPr="001F40F1">
              <w:rPr>
                <w:b/>
                <w:bCs/>
                <w:color w:val="000000"/>
                <w:sz w:val="22"/>
                <w:lang w:val="en-PH"/>
              </w:rPr>
              <w:t>Account Title</w:t>
            </w:r>
          </w:p>
        </w:tc>
        <w:tc>
          <w:tcPr>
            <w:tcW w:w="1661" w:type="dxa"/>
            <w:vMerge w:val="restart"/>
            <w:shd w:val="clear" w:color="auto" w:fill="auto"/>
            <w:vAlign w:val="center"/>
            <w:hideMark/>
          </w:tcPr>
          <w:p w:rsidR="001F40F1" w:rsidRPr="001F40F1" w:rsidRDefault="001F40F1" w:rsidP="000F45BD">
            <w:pPr>
              <w:tabs>
                <w:tab w:val="left" w:pos="180"/>
              </w:tabs>
              <w:ind w:left="180"/>
              <w:jc w:val="center"/>
              <w:rPr>
                <w:b/>
                <w:bCs/>
                <w:iCs/>
                <w:color w:val="000000"/>
                <w:sz w:val="22"/>
                <w:lang w:val="en-PH"/>
              </w:rPr>
            </w:pPr>
            <w:r w:rsidRPr="001F40F1">
              <w:rPr>
                <w:b/>
                <w:bCs/>
                <w:iCs/>
                <w:color w:val="000000"/>
                <w:sz w:val="22"/>
                <w:lang w:val="en-PH"/>
              </w:rPr>
              <w:t>Amount</w:t>
            </w:r>
          </w:p>
        </w:tc>
        <w:tc>
          <w:tcPr>
            <w:tcW w:w="3240" w:type="dxa"/>
            <w:gridSpan w:val="2"/>
            <w:shd w:val="clear" w:color="auto" w:fill="auto"/>
            <w:noWrap/>
            <w:vAlign w:val="center"/>
          </w:tcPr>
          <w:p w:rsidR="001F40F1" w:rsidRPr="001F40F1" w:rsidRDefault="001F40F1" w:rsidP="00BB1DA9">
            <w:pPr>
              <w:tabs>
                <w:tab w:val="left" w:pos="180"/>
              </w:tabs>
              <w:ind w:left="180"/>
              <w:jc w:val="center"/>
              <w:rPr>
                <w:b/>
                <w:bCs/>
                <w:color w:val="000000"/>
                <w:sz w:val="22"/>
                <w:lang w:val="en-PH"/>
              </w:rPr>
            </w:pPr>
            <w:r>
              <w:rPr>
                <w:b/>
                <w:bCs/>
                <w:color w:val="000000"/>
                <w:sz w:val="22"/>
                <w:lang w:val="en-PH"/>
              </w:rPr>
              <w:t>Age</w:t>
            </w:r>
          </w:p>
        </w:tc>
      </w:tr>
      <w:tr w:rsidR="001F40F1" w:rsidRPr="001F40F1" w:rsidTr="00BB1DA9">
        <w:trPr>
          <w:trHeight w:hRule="exact" w:val="249"/>
          <w:tblHeader/>
        </w:trPr>
        <w:tc>
          <w:tcPr>
            <w:tcW w:w="3330" w:type="dxa"/>
            <w:vMerge/>
            <w:shd w:val="clear" w:color="auto" w:fill="auto"/>
            <w:vAlign w:val="center"/>
          </w:tcPr>
          <w:p w:rsidR="001F40F1" w:rsidRPr="001F40F1" w:rsidRDefault="001F40F1" w:rsidP="000F45BD">
            <w:pPr>
              <w:tabs>
                <w:tab w:val="left" w:pos="180"/>
              </w:tabs>
              <w:ind w:left="180"/>
              <w:rPr>
                <w:b/>
                <w:bCs/>
                <w:color w:val="000000"/>
                <w:sz w:val="22"/>
                <w:lang w:val="en-PH"/>
              </w:rPr>
            </w:pPr>
          </w:p>
        </w:tc>
        <w:tc>
          <w:tcPr>
            <w:tcW w:w="1661" w:type="dxa"/>
            <w:vMerge/>
            <w:shd w:val="clear" w:color="auto" w:fill="auto"/>
            <w:vAlign w:val="center"/>
          </w:tcPr>
          <w:p w:rsidR="001F40F1" w:rsidRPr="001F40F1" w:rsidRDefault="001F40F1" w:rsidP="000F45BD">
            <w:pPr>
              <w:tabs>
                <w:tab w:val="left" w:pos="180"/>
              </w:tabs>
              <w:ind w:left="180"/>
              <w:jc w:val="center"/>
              <w:rPr>
                <w:b/>
                <w:bCs/>
                <w:iCs/>
                <w:color w:val="000000"/>
                <w:sz w:val="22"/>
                <w:lang w:val="en-PH"/>
              </w:rPr>
            </w:pPr>
          </w:p>
        </w:tc>
        <w:tc>
          <w:tcPr>
            <w:tcW w:w="1579" w:type="dxa"/>
            <w:shd w:val="clear" w:color="auto" w:fill="auto"/>
            <w:noWrap/>
            <w:vAlign w:val="center"/>
          </w:tcPr>
          <w:p w:rsidR="001F40F1" w:rsidRPr="001F40F1" w:rsidRDefault="001F40F1" w:rsidP="0024732C">
            <w:pPr>
              <w:tabs>
                <w:tab w:val="left" w:pos="180"/>
              </w:tabs>
              <w:ind w:left="180"/>
              <w:jc w:val="center"/>
              <w:rPr>
                <w:b/>
                <w:bCs/>
                <w:color w:val="000000"/>
                <w:sz w:val="22"/>
                <w:lang w:val="en-PH"/>
              </w:rPr>
            </w:pPr>
            <w:r w:rsidRPr="001F40F1">
              <w:rPr>
                <w:b/>
                <w:bCs/>
                <w:color w:val="000000"/>
                <w:sz w:val="22"/>
                <w:lang w:val="en-PH"/>
              </w:rPr>
              <w:t>&lt;30 days</w:t>
            </w:r>
          </w:p>
        </w:tc>
        <w:tc>
          <w:tcPr>
            <w:tcW w:w="1661" w:type="dxa"/>
            <w:shd w:val="clear" w:color="auto" w:fill="auto"/>
            <w:noWrap/>
            <w:vAlign w:val="center"/>
          </w:tcPr>
          <w:p w:rsidR="001F40F1" w:rsidRPr="001F40F1" w:rsidRDefault="001F40F1" w:rsidP="0024732C">
            <w:pPr>
              <w:tabs>
                <w:tab w:val="left" w:pos="180"/>
              </w:tabs>
              <w:ind w:left="180"/>
              <w:jc w:val="center"/>
              <w:rPr>
                <w:b/>
                <w:bCs/>
                <w:color w:val="000000"/>
                <w:sz w:val="22"/>
                <w:lang w:val="en-PH"/>
              </w:rPr>
            </w:pPr>
            <w:r w:rsidRPr="001F40F1">
              <w:rPr>
                <w:b/>
                <w:bCs/>
                <w:color w:val="000000"/>
                <w:sz w:val="22"/>
                <w:lang w:val="en-PH"/>
              </w:rPr>
              <w:t>&gt;60 days</w:t>
            </w:r>
          </w:p>
        </w:tc>
      </w:tr>
      <w:tr w:rsidR="006D19D5" w:rsidRPr="001F40F1" w:rsidTr="00BB1DA9">
        <w:trPr>
          <w:trHeight w:hRule="exact" w:val="249"/>
        </w:trPr>
        <w:tc>
          <w:tcPr>
            <w:tcW w:w="3330" w:type="dxa"/>
            <w:shd w:val="clear" w:color="auto" w:fill="auto"/>
            <w:noWrap/>
            <w:vAlign w:val="center"/>
            <w:hideMark/>
          </w:tcPr>
          <w:p w:rsidR="006D19D5" w:rsidRPr="001F40F1" w:rsidRDefault="006D19D5" w:rsidP="00BB1DA9">
            <w:pPr>
              <w:ind w:left="-18"/>
              <w:rPr>
                <w:color w:val="000000"/>
                <w:sz w:val="22"/>
                <w:lang w:val="en-PH"/>
              </w:rPr>
            </w:pPr>
            <w:r w:rsidRPr="001F40F1">
              <w:rPr>
                <w:color w:val="000000"/>
                <w:sz w:val="22"/>
              </w:rPr>
              <w:t>Accounts Receivable</w:t>
            </w:r>
          </w:p>
        </w:tc>
        <w:tc>
          <w:tcPr>
            <w:tcW w:w="1661"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16,935,380.56</w:t>
            </w:r>
          </w:p>
        </w:tc>
        <w:tc>
          <w:tcPr>
            <w:tcW w:w="1579" w:type="dxa"/>
            <w:shd w:val="clear" w:color="auto" w:fill="auto"/>
            <w:noWrap/>
            <w:vAlign w:val="center"/>
            <w:hideMark/>
          </w:tcPr>
          <w:p w:rsidR="006D19D5" w:rsidRPr="001F40F1" w:rsidRDefault="00661B73" w:rsidP="000F45BD">
            <w:pPr>
              <w:tabs>
                <w:tab w:val="left" w:pos="180"/>
              </w:tabs>
              <w:ind w:left="180"/>
              <w:jc w:val="right"/>
              <w:rPr>
                <w:color w:val="000000"/>
                <w:sz w:val="22"/>
                <w:lang w:val="en-PH"/>
              </w:rPr>
            </w:pPr>
            <w:r w:rsidRPr="001F40F1">
              <w:rPr>
                <w:color w:val="000000"/>
                <w:sz w:val="22"/>
                <w:lang w:val="en-PH"/>
              </w:rPr>
              <w:t>-</w:t>
            </w:r>
          </w:p>
        </w:tc>
        <w:tc>
          <w:tcPr>
            <w:tcW w:w="1661"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16,935,380.56</w:t>
            </w:r>
          </w:p>
        </w:tc>
      </w:tr>
      <w:tr w:rsidR="006D19D5" w:rsidRPr="001F40F1" w:rsidTr="00BB1DA9">
        <w:trPr>
          <w:trHeight w:hRule="exact" w:val="249"/>
        </w:trPr>
        <w:tc>
          <w:tcPr>
            <w:tcW w:w="3330" w:type="dxa"/>
            <w:shd w:val="clear" w:color="auto" w:fill="auto"/>
            <w:noWrap/>
            <w:vAlign w:val="center"/>
          </w:tcPr>
          <w:p w:rsidR="006D19D5" w:rsidRPr="001F40F1" w:rsidRDefault="006D19D5" w:rsidP="00BB1DA9">
            <w:pPr>
              <w:ind w:left="-18"/>
              <w:rPr>
                <w:color w:val="000000"/>
                <w:sz w:val="22"/>
              </w:rPr>
            </w:pPr>
            <w:r w:rsidRPr="001F40F1">
              <w:rPr>
                <w:color w:val="000000"/>
                <w:sz w:val="22"/>
              </w:rPr>
              <w:t>Loan Receivable</w:t>
            </w:r>
          </w:p>
        </w:tc>
        <w:tc>
          <w:tcPr>
            <w:tcW w:w="1661" w:type="dxa"/>
            <w:shd w:val="clear" w:color="auto" w:fill="auto"/>
            <w:noWrap/>
            <w:vAlign w:val="center"/>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883,000.00</w:t>
            </w:r>
          </w:p>
        </w:tc>
        <w:tc>
          <w:tcPr>
            <w:tcW w:w="1579" w:type="dxa"/>
            <w:shd w:val="clear" w:color="auto" w:fill="auto"/>
            <w:noWrap/>
            <w:vAlign w:val="center"/>
          </w:tcPr>
          <w:p w:rsidR="006D19D5" w:rsidRPr="001F40F1" w:rsidRDefault="00661B73" w:rsidP="000F45BD">
            <w:pPr>
              <w:tabs>
                <w:tab w:val="left" w:pos="180"/>
              </w:tabs>
              <w:ind w:left="180"/>
              <w:jc w:val="right"/>
              <w:rPr>
                <w:color w:val="000000"/>
                <w:sz w:val="22"/>
                <w:lang w:val="en-PH"/>
              </w:rPr>
            </w:pPr>
            <w:r w:rsidRPr="001F40F1">
              <w:rPr>
                <w:color w:val="000000"/>
                <w:sz w:val="22"/>
                <w:lang w:val="en-PH"/>
              </w:rPr>
              <w:t>-</w:t>
            </w:r>
          </w:p>
        </w:tc>
        <w:tc>
          <w:tcPr>
            <w:tcW w:w="1661" w:type="dxa"/>
            <w:shd w:val="clear" w:color="auto" w:fill="auto"/>
            <w:noWrap/>
            <w:vAlign w:val="center"/>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883,000.00</w:t>
            </w:r>
          </w:p>
        </w:tc>
      </w:tr>
      <w:tr w:rsidR="006D19D5" w:rsidRPr="001F40F1" w:rsidTr="00BB1DA9">
        <w:trPr>
          <w:trHeight w:hRule="exact" w:val="249"/>
        </w:trPr>
        <w:tc>
          <w:tcPr>
            <w:tcW w:w="3330" w:type="dxa"/>
            <w:shd w:val="clear" w:color="auto" w:fill="auto"/>
            <w:noWrap/>
            <w:vAlign w:val="center"/>
            <w:hideMark/>
          </w:tcPr>
          <w:p w:rsidR="006D19D5" w:rsidRPr="001F40F1" w:rsidRDefault="006D19D5" w:rsidP="00BB1DA9">
            <w:pPr>
              <w:ind w:left="-18"/>
              <w:rPr>
                <w:color w:val="000000"/>
                <w:sz w:val="22"/>
                <w:lang w:val="en-PH"/>
              </w:rPr>
            </w:pPr>
            <w:r w:rsidRPr="001F40F1">
              <w:rPr>
                <w:color w:val="000000"/>
                <w:sz w:val="22"/>
              </w:rPr>
              <w:t>Inter-Agency Receivable</w:t>
            </w:r>
          </w:p>
        </w:tc>
        <w:tc>
          <w:tcPr>
            <w:tcW w:w="1661" w:type="dxa"/>
            <w:shd w:val="clear" w:color="auto" w:fill="auto"/>
            <w:noWrap/>
            <w:vAlign w:val="center"/>
            <w:hideMark/>
          </w:tcPr>
          <w:p w:rsidR="006D19D5" w:rsidRPr="001F40F1" w:rsidRDefault="006D19D5" w:rsidP="000F45BD">
            <w:pPr>
              <w:tabs>
                <w:tab w:val="left" w:pos="180"/>
              </w:tabs>
              <w:ind w:left="180"/>
              <w:jc w:val="right"/>
              <w:rPr>
                <w:sz w:val="22"/>
              </w:rPr>
            </w:pPr>
            <w:r w:rsidRPr="001F40F1">
              <w:rPr>
                <w:sz w:val="22"/>
              </w:rPr>
              <w:t>10,672,016.70</w:t>
            </w:r>
          </w:p>
        </w:tc>
        <w:tc>
          <w:tcPr>
            <w:tcW w:w="1579"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230,000.00</w:t>
            </w:r>
          </w:p>
        </w:tc>
        <w:tc>
          <w:tcPr>
            <w:tcW w:w="1661"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10,442,016.70</w:t>
            </w:r>
          </w:p>
        </w:tc>
      </w:tr>
      <w:tr w:rsidR="006D19D5" w:rsidRPr="001F40F1" w:rsidTr="00BB1DA9">
        <w:trPr>
          <w:trHeight w:hRule="exact" w:val="249"/>
        </w:trPr>
        <w:tc>
          <w:tcPr>
            <w:tcW w:w="3330" w:type="dxa"/>
            <w:shd w:val="clear" w:color="auto" w:fill="auto"/>
            <w:noWrap/>
            <w:vAlign w:val="center"/>
          </w:tcPr>
          <w:p w:rsidR="006D19D5" w:rsidRPr="001F40F1" w:rsidRDefault="006D19D5" w:rsidP="00BB1DA9">
            <w:pPr>
              <w:ind w:left="-18"/>
              <w:rPr>
                <w:color w:val="000000"/>
                <w:sz w:val="22"/>
              </w:rPr>
            </w:pPr>
            <w:r w:rsidRPr="001F40F1">
              <w:rPr>
                <w:color w:val="000000"/>
                <w:sz w:val="22"/>
              </w:rPr>
              <w:t>Operating Lease Receivable</w:t>
            </w:r>
          </w:p>
        </w:tc>
        <w:tc>
          <w:tcPr>
            <w:tcW w:w="1661" w:type="dxa"/>
            <w:shd w:val="clear" w:color="auto" w:fill="auto"/>
            <w:noWrap/>
            <w:vAlign w:val="center"/>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251,000.00</w:t>
            </w:r>
          </w:p>
        </w:tc>
        <w:tc>
          <w:tcPr>
            <w:tcW w:w="1579" w:type="dxa"/>
            <w:shd w:val="clear" w:color="auto" w:fill="auto"/>
            <w:noWrap/>
            <w:vAlign w:val="center"/>
          </w:tcPr>
          <w:p w:rsidR="006D19D5" w:rsidRPr="001F40F1" w:rsidRDefault="00661B73" w:rsidP="000F45BD">
            <w:pPr>
              <w:tabs>
                <w:tab w:val="left" w:pos="180"/>
              </w:tabs>
              <w:ind w:left="180"/>
              <w:jc w:val="right"/>
              <w:rPr>
                <w:color w:val="000000"/>
                <w:sz w:val="22"/>
                <w:lang w:val="en-PH"/>
              </w:rPr>
            </w:pPr>
            <w:r w:rsidRPr="001F40F1">
              <w:rPr>
                <w:color w:val="000000"/>
                <w:sz w:val="22"/>
                <w:lang w:val="en-PH"/>
              </w:rPr>
              <w:t>-</w:t>
            </w:r>
          </w:p>
        </w:tc>
        <w:tc>
          <w:tcPr>
            <w:tcW w:w="1661" w:type="dxa"/>
            <w:shd w:val="clear" w:color="auto" w:fill="auto"/>
            <w:noWrap/>
            <w:vAlign w:val="center"/>
          </w:tcPr>
          <w:p w:rsidR="006D19D5" w:rsidRPr="001F40F1" w:rsidRDefault="006D19D5" w:rsidP="000F45BD">
            <w:pPr>
              <w:tabs>
                <w:tab w:val="left" w:pos="180"/>
              </w:tabs>
              <w:ind w:left="180"/>
              <w:jc w:val="right"/>
              <w:rPr>
                <w:color w:val="000000"/>
                <w:sz w:val="22"/>
                <w:lang w:val="en-PH"/>
              </w:rPr>
            </w:pPr>
            <w:r w:rsidRPr="001F40F1">
              <w:rPr>
                <w:color w:val="000000"/>
                <w:sz w:val="22"/>
                <w:lang w:val="en-PH"/>
              </w:rPr>
              <w:t>251,000.00</w:t>
            </w:r>
          </w:p>
        </w:tc>
      </w:tr>
      <w:tr w:rsidR="006D19D5" w:rsidRPr="001F40F1" w:rsidTr="00BB1DA9">
        <w:trPr>
          <w:trHeight w:hRule="exact" w:val="249"/>
        </w:trPr>
        <w:tc>
          <w:tcPr>
            <w:tcW w:w="3330" w:type="dxa"/>
            <w:shd w:val="clear" w:color="auto" w:fill="auto"/>
            <w:noWrap/>
            <w:vAlign w:val="center"/>
            <w:hideMark/>
          </w:tcPr>
          <w:p w:rsidR="006D19D5" w:rsidRPr="001F40F1" w:rsidRDefault="006D19D5" w:rsidP="00BB1DA9">
            <w:pPr>
              <w:ind w:left="-18"/>
              <w:rPr>
                <w:color w:val="000000"/>
                <w:sz w:val="22"/>
                <w:lang w:val="en-PH"/>
              </w:rPr>
            </w:pPr>
            <w:r w:rsidRPr="001F40F1">
              <w:rPr>
                <w:color w:val="000000"/>
                <w:sz w:val="22"/>
              </w:rPr>
              <w:t>Other Receivables</w:t>
            </w:r>
          </w:p>
        </w:tc>
        <w:tc>
          <w:tcPr>
            <w:tcW w:w="1661"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bCs/>
                <w:sz w:val="22"/>
              </w:rPr>
              <w:t>1,723,089.15</w:t>
            </w:r>
          </w:p>
        </w:tc>
        <w:tc>
          <w:tcPr>
            <w:tcW w:w="1579" w:type="dxa"/>
            <w:shd w:val="clear" w:color="auto" w:fill="auto"/>
            <w:noWrap/>
            <w:vAlign w:val="center"/>
            <w:hideMark/>
          </w:tcPr>
          <w:p w:rsidR="006D19D5" w:rsidRPr="001F40F1" w:rsidRDefault="00661B73" w:rsidP="000F45BD">
            <w:pPr>
              <w:tabs>
                <w:tab w:val="left" w:pos="180"/>
              </w:tabs>
              <w:ind w:left="180"/>
              <w:jc w:val="right"/>
              <w:rPr>
                <w:color w:val="000000"/>
                <w:sz w:val="22"/>
                <w:lang w:val="en-PH"/>
              </w:rPr>
            </w:pPr>
            <w:r w:rsidRPr="001F40F1">
              <w:rPr>
                <w:color w:val="000000"/>
                <w:sz w:val="22"/>
                <w:lang w:val="en-PH"/>
              </w:rPr>
              <w:t>-</w:t>
            </w:r>
          </w:p>
        </w:tc>
        <w:tc>
          <w:tcPr>
            <w:tcW w:w="1661" w:type="dxa"/>
            <w:shd w:val="clear" w:color="auto" w:fill="auto"/>
            <w:noWrap/>
            <w:vAlign w:val="center"/>
            <w:hideMark/>
          </w:tcPr>
          <w:p w:rsidR="006D19D5" w:rsidRPr="001F40F1" w:rsidRDefault="006D19D5" w:rsidP="000F45BD">
            <w:pPr>
              <w:tabs>
                <w:tab w:val="left" w:pos="180"/>
              </w:tabs>
              <w:ind w:left="180"/>
              <w:jc w:val="right"/>
              <w:rPr>
                <w:color w:val="000000"/>
                <w:sz w:val="22"/>
                <w:lang w:val="en-PH"/>
              </w:rPr>
            </w:pPr>
            <w:r w:rsidRPr="001F40F1">
              <w:rPr>
                <w:bCs/>
                <w:sz w:val="22"/>
              </w:rPr>
              <w:t>1,723,089.15</w:t>
            </w:r>
          </w:p>
        </w:tc>
      </w:tr>
      <w:tr w:rsidR="006D19D5" w:rsidRPr="001F40F1" w:rsidTr="00BB1DA9">
        <w:trPr>
          <w:trHeight w:hRule="exact" w:val="249"/>
        </w:trPr>
        <w:tc>
          <w:tcPr>
            <w:tcW w:w="3330" w:type="dxa"/>
            <w:shd w:val="clear" w:color="auto" w:fill="auto"/>
            <w:noWrap/>
            <w:vAlign w:val="center"/>
            <w:hideMark/>
          </w:tcPr>
          <w:p w:rsidR="006D19D5" w:rsidRPr="001F40F1" w:rsidRDefault="006D19D5" w:rsidP="00BB1DA9">
            <w:pPr>
              <w:ind w:left="-18"/>
              <w:rPr>
                <w:b/>
                <w:bCs/>
                <w:color w:val="000000"/>
                <w:sz w:val="22"/>
                <w:lang w:val="en-PH"/>
              </w:rPr>
            </w:pPr>
            <w:r w:rsidRPr="001F40F1">
              <w:rPr>
                <w:b/>
                <w:bCs/>
                <w:color w:val="000000"/>
                <w:sz w:val="22"/>
                <w:lang w:val="en-PH"/>
              </w:rPr>
              <w:t>Total</w:t>
            </w:r>
          </w:p>
        </w:tc>
        <w:tc>
          <w:tcPr>
            <w:tcW w:w="1661" w:type="dxa"/>
            <w:shd w:val="clear" w:color="auto" w:fill="auto"/>
            <w:noWrap/>
            <w:hideMark/>
          </w:tcPr>
          <w:p w:rsidR="006D19D5" w:rsidRPr="001F40F1" w:rsidRDefault="006D19D5" w:rsidP="000F45BD">
            <w:pPr>
              <w:tabs>
                <w:tab w:val="left" w:pos="180"/>
              </w:tabs>
              <w:ind w:left="180"/>
              <w:jc w:val="right"/>
              <w:rPr>
                <w:b/>
                <w:color w:val="000000"/>
                <w:sz w:val="22"/>
                <w:lang w:val="en-PH"/>
              </w:rPr>
            </w:pPr>
            <w:r w:rsidRPr="001F40F1">
              <w:rPr>
                <w:b/>
                <w:color w:val="000000"/>
                <w:sz w:val="22"/>
                <w:lang w:val="en-PH"/>
              </w:rPr>
              <w:t>30,464,486.41</w:t>
            </w:r>
          </w:p>
        </w:tc>
        <w:tc>
          <w:tcPr>
            <w:tcW w:w="1579" w:type="dxa"/>
            <w:shd w:val="clear" w:color="auto" w:fill="auto"/>
            <w:noWrap/>
            <w:hideMark/>
          </w:tcPr>
          <w:p w:rsidR="006D19D5" w:rsidRPr="001F40F1" w:rsidRDefault="006D19D5" w:rsidP="000F45BD">
            <w:pPr>
              <w:tabs>
                <w:tab w:val="left" w:pos="180"/>
              </w:tabs>
              <w:ind w:left="180"/>
              <w:jc w:val="right"/>
              <w:rPr>
                <w:b/>
                <w:color w:val="000000"/>
                <w:sz w:val="22"/>
                <w:lang w:val="en-PH"/>
              </w:rPr>
            </w:pPr>
            <w:r w:rsidRPr="001F40F1">
              <w:rPr>
                <w:b/>
                <w:color w:val="000000"/>
                <w:sz w:val="22"/>
                <w:lang w:val="en-PH"/>
              </w:rPr>
              <w:t>230,000.00</w:t>
            </w:r>
          </w:p>
        </w:tc>
        <w:tc>
          <w:tcPr>
            <w:tcW w:w="1661" w:type="dxa"/>
            <w:shd w:val="clear" w:color="auto" w:fill="auto"/>
            <w:noWrap/>
            <w:hideMark/>
          </w:tcPr>
          <w:p w:rsidR="006D19D5" w:rsidRPr="001F40F1" w:rsidRDefault="006D19D5" w:rsidP="000F45BD">
            <w:pPr>
              <w:tabs>
                <w:tab w:val="left" w:pos="180"/>
              </w:tabs>
              <w:ind w:left="180"/>
              <w:jc w:val="right"/>
              <w:rPr>
                <w:b/>
                <w:color w:val="000000"/>
                <w:sz w:val="22"/>
                <w:lang w:val="en-PH"/>
              </w:rPr>
            </w:pPr>
            <w:r w:rsidRPr="001F40F1">
              <w:rPr>
                <w:b/>
                <w:color w:val="000000"/>
                <w:sz w:val="22"/>
                <w:lang w:val="en-PH"/>
              </w:rPr>
              <w:t>30,234,486.41</w:t>
            </w:r>
          </w:p>
        </w:tc>
      </w:tr>
    </w:tbl>
    <w:p w:rsidR="00AE788F" w:rsidRPr="004408CB" w:rsidRDefault="00AE788F" w:rsidP="00124F98">
      <w:pPr>
        <w:tabs>
          <w:tab w:val="left" w:pos="360"/>
          <w:tab w:val="left" w:pos="720"/>
          <w:tab w:val="left" w:pos="990"/>
        </w:tabs>
        <w:jc w:val="both"/>
        <w:rPr>
          <w:b/>
          <w:sz w:val="18"/>
          <w:szCs w:val="18"/>
        </w:rPr>
      </w:pPr>
    </w:p>
    <w:p w:rsidR="00605396" w:rsidRDefault="00AE788F" w:rsidP="004408CB">
      <w:pPr>
        <w:pStyle w:val="BodyTextIndent"/>
        <w:numPr>
          <w:ilvl w:val="0"/>
          <w:numId w:val="18"/>
        </w:numPr>
        <w:ind w:left="426" w:hanging="426"/>
        <w:rPr>
          <w:b/>
          <w:szCs w:val="24"/>
        </w:rPr>
      </w:pPr>
      <w:r>
        <w:rPr>
          <w:b/>
          <w:szCs w:val="24"/>
        </w:rPr>
        <w:t>Inventories</w:t>
      </w:r>
    </w:p>
    <w:p w:rsidR="00AE788F" w:rsidRPr="004408CB" w:rsidRDefault="00AE788F" w:rsidP="00124F98">
      <w:pPr>
        <w:tabs>
          <w:tab w:val="left" w:pos="360"/>
          <w:tab w:val="left" w:pos="720"/>
        </w:tabs>
        <w:jc w:val="both"/>
        <w:rPr>
          <w:b/>
          <w:sz w:val="18"/>
          <w:szCs w:val="18"/>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70"/>
        <w:gridCol w:w="1710"/>
      </w:tblGrid>
      <w:tr w:rsidR="00A80456" w:rsidRPr="001F40F1" w:rsidTr="00BB1DA9">
        <w:trPr>
          <w:trHeight w:val="187"/>
        </w:trPr>
        <w:tc>
          <w:tcPr>
            <w:tcW w:w="6570" w:type="dxa"/>
            <w:shd w:val="clear" w:color="auto" w:fill="auto"/>
            <w:noWrap/>
            <w:vAlign w:val="center"/>
            <w:hideMark/>
          </w:tcPr>
          <w:p w:rsidR="00A80456" w:rsidRPr="001F40F1" w:rsidRDefault="00A80456" w:rsidP="00C25D63">
            <w:pPr>
              <w:jc w:val="center"/>
              <w:rPr>
                <w:b/>
                <w:bCs/>
                <w:color w:val="000000"/>
                <w:sz w:val="22"/>
                <w:lang w:val="en-PH"/>
              </w:rPr>
            </w:pPr>
            <w:r w:rsidRPr="001F40F1">
              <w:rPr>
                <w:b/>
                <w:bCs/>
                <w:color w:val="000000"/>
                <w:sz w:val="22"/>
                <w:lang w:val="en-PH"/>
              </w:rPr>
              <w:t>Account Title</w:t>
            </w:r>
          </w:p>
        </w:tc>
        <w:tc>
          <w:tcPr>
            <w:tcW w:w="1710" w:type="dxa"/>
            <w:shd w:val="clear" w:color="auto" w:fill="auto"/>
            <w:noWrap/>
            <w:vAlign w:val="center"/>
            <w:hideMark/>
          </w:tcPr>
          <w:p w:rsidR="00A80456" w:rsidRPr="001F40F1" w:rsidRDefault="0003249E" w:rsidP="00C25D63">
            <w:pPr>
              <w:jc w:val="center"/>
              <w:rPr>
                <w:b/>
                <w:bCs/>
                <w:color w:val="000000"/>
                <w:sz w:val="22"/>
                <w:lang w:val="en-PH"/>
              </w:rPr>
            </w:pPr>
            <w:r w:rsidRPr="001F40F1">
              <w:rPr>
                <w:b/>
                <w:bCs/>
                <w:color w:val="000000"/>
                <w:sz w:val="22"/>
                <w:lang w:val="en-PH"/>
              </w:rPr>
              <w:t>Amount</w:t>
            </w:r>
          </w:p>
        </w:tc>
      </w:tr>
      <w:tr w:rsidR="00A80456" w:rsidRPr="001F40F1" w:rsidTr="00BB1DA9">
        <w:trPr>
          <w:trHeight w:val="206"/>
        </w:trPr>
        <w:tc>
          <w:tcPr>
            <w:tcW w:w="6570" w:type="dxa"/>
            <w:shd w:val="clear" w:color="auto" w:fill="auto"/>
            <w:noWrap/>
            <w:vAlign w:val="center"/>
            <w:hideMark/>
          </w:tcPr>
          <w:p w:rsidR="00A80456" w:rsidRPr="001F40F1" w:rsidRDefault="00A80456" w:rsidP="00124F98">
            <w:pPr>
              <w:rPr>
                <w:b/>
                <w:color w:val="000000"/>
                <w:sz w:val="22"/>
                <w:lang w:val="en-PH"/>
              </w:rPr>
            </w:pPr>
            <w:r w:rsidRPr="001F40F1">
              <w:rPr>
                <w:b/>
                <w:color w:val="000000"/>
                <w:sz w:val="22"/>
                <w:lang w:val="en-PH"/>
              </w:rPr>
              <w:t>Inventory held for Consumption</w:t>
            </w:r>
          </w:p>
        </w:tc>
        <w:tc>
          <w:tcPr>
            <w:tcW w:w="1710" w:type="dxa"/>
            <w:shd w:val="clear" w:color="auto" w:fill="auto"/>
            <w:noWrap/>
            <w:vAlign w:val="bottom"/>
            <w:hideMark/>
          </w:tcPr>
          <w:p w:rsidR="00A80456" w:rsidRPr="001F40F1" w:rsidRDefault="00A80456" w:rsidP="00124F98">
            <w:pPr>
              <w:jc w:val="center"/>
              <w:rPr>
                <w:color w:val="000000"/>
                <w:sz w:val="22"/>
                <w:lang w:val="en-PH"/>
              </w:rPr>
            </w:pPr>
            <w:r w:rsidRPr="001F40F1">
              <w:rPr>
                <w:color w:val="000000"/>
                <w:sz w:val="22"/>
                <w:lang w:val="en-PH"/>
              </w:rPr>
              <w:t> </w:t>
            </w:r>
          </w:p>
        </w:tc>
      </w:tr>
      <w:tr w:rsidR="00A80456" w:rsidRPr="001F40F1" w:rsidTr="00BB1DA9">
        <w:trPr>
          <w:trHeight w:val="95"/>
        </w:trPr>
        <w:tc>
          <w:tcPr>
            <w:tcW w:w="6570" w:type="dxa"/>
            <w:shd w:val="clear" w:color="auto" w:fill="auto"/>
            <w:noWrap/>
            <w:vAlign w:val="center"/>
            <w:hideMark/>
          </w:tcPr>
          <w:p w:rsidR="00A80456" w:rsidRPr="001F40F1" w:rsidRDefault="00A80456" w:rsidP="00124F98">
            <w:pPr>
              <w:rPr>
                <w:color w:val="000000"/>
                <w:sz w:val="22"/>
                <w:lang w:val="en-PH"/>
              </w:rPr>
            </w:pPr>
            <w:r w:rsidRPr="001F40F1">
              <w:rPr>
                <w:color w:val="000000"/>
                <w:sz w:val="22"/>
                <w:lang w:val="en-PH"/>
              </w:rPr>
              <w:t>Carrying Amount, January 1, 2016</w:t>
            </w:r>
          </w:p>
        </w:tc>
        <w:tc>
          <w:tcPr>
            <w:tcW w:w="1710" w:type="dxa"/>
            <w:shd w:val="clear" w:color="auto" w:fill="auto"/>
            <w:noWrap/>
            <w:vAlign w:val="bottom"/>
            <w:hideMark/>
          </w:tcPr>
          <w:p w:rsidR="00A80456" w:rsidRPr="001F40F1" w:rsidRDefault="00A80456" w:rsidP="00124F98">
            <w:pPr>
              <w:tabs>
                <w:tab w:val="left" w:pos="2603"/>
              </w:tabs>
              <w:jc w:val="right"/>
              <w:rPr>
                <w:color w:val="000000"/>
                <w:sz w:val="22"/>
                <w:lang w:val="en-PH"/>
              </w:rPr>
            </w:pPr>
            <w:r w:rsidRPr="001F40F1">
              <w:rPr>
                <w:color w:val="000000"/>
                <w:sz w:val="22"/>
                <w:lang w:val="en-PH"/>
              </w:rPr>
              <w:t>820,615.89</w:t>
            </w:r>
          </w:p>
        </w:tc>
      </w:tr>
      <w:tr w:rsidR="00A80456" w:rsidRPr="001F40F1" w:rsidTr="00BB1DA9">
        <w:trPr>
          <w:trHeight w:val="100"/>
        </w:trPr>
        <w:tc>
          <w:tcPr>
            <w:tcW w:w="6570" w:type="dxa"/>
            <w:shd w:val="clear" w:color="auto" w:fill="auto"/>
            <w:noWrap/>
            <w:vAlign w:val="center"/>
            <w:hideMark/>
          </w:tcPr>
          <w:p w:rsidR="00A80456" w:rsidRPr="001F40F1" w:rsidRDefault="00A80456" w:rsidP="00124F98">
            <w:pPr>
              <w:rPr>
                <w:color w:val="000000"/>
                <w:sz w:val="22"/>
                <w:lang w:val="en-PH"/>
              </w:rPr>
            </w:pPr>
            <w:r w:rsidRPr="001F40F1">
              <w:rPr>
                <w:color w:val="000000"/>
                <w:sz w:val="22"/>
                <w:lang w:val="en-PH"/>
              </w:rPr>
              <w:t>Additions/ Acquisitions during the year</w:t>
            </w:r>
          </w:p>
        </w:tc>
        <w:tc>
          <w:tcPr>
            <w:tcW w:w="1710" w:type="dxa"/>
            <w:shd w:val="clear" w:color="auto" w:fill="auto"/>
            <w:noWrap/>
            <w:vAlign w:val="bottom"/>
            <w:hideMark/>
          </w:tcPr>
          <w:p w:rsidR="00A80456" w:rsidRPr="001F40F1" w:rsidRDefault="00A80456" w:rsidP="00124F98">
            <w:pPr>
              <w:jc w:val="right"/>
              <w:rPr>
                <w:color w:val="000000"/>
                <w:sz w:val="22"/>
                <w:lang w:val="en-PH"/>
              </w:rPr>
            </w:pPr>
            <w:r w:rsidRPr="001F40F1">
              <w:rPr>
                <w:color w:val="000000"/>
                <w:sz w:val="22"/>
                <w:lang w:val="en-PH"/>
              </w:rPr>
              <w:t>1,326,422.38</w:t>
            </w:r>
          </w:p>
        </w:tc>
      </w:tr>
      <w:tr w:rsidR="00A80456" w:rsidRPr="001F40F1" w:rsidTr="00BB1DA9">
        <w:trPr>
          <w:trHeight w:val="131"/>
        </w:trPr>
        <w:tc>
          <w:tcPr>
            <w:tcW w:w="6570" w:type="dxa"/>
            <w:shd w:val="clear" w:color="auto" w:fill="auto"/>
            <w:noWrap/>
            <w:vAlign w:val="center"/>
            <w:hideMark/>
          </w:tcPr>
          <w:p w:rsidR="00A80456" w:rsidRPr="001F40F1" w:rsidRDefault="00A80456" w:rsidP="00124F98">
            <w:pPr>
              <w:rPr>
                <w:color w:val="000000"/>
                <w:sz w:val="22"/>
                <w:lang w:val="en-PH"/>
              </w:rPr>
            </w:pPr>
            <w:r w:rsidRPr="001F40F1">
              <w:rPr>
                <w:color w:val="000000"/>
                <w:sz w:val="22"/>
                <w:lang w:val="en-PH"/>
              </w:rPr>
              <w:t>Expensed during the year except write-down</w:t>
            </w:r>
          </w:p>
        </w:tc>
        <w:tc>
          <w:tcPr>
            <w:tcW w:w="1710" w:type="dxa"/>
            <w:shd w:val="clear" w:color="auto" w:fill="auto"/>
            <w:noWrap/>
            <w:vAlign w:val="bottom"/>
            <w:hideMark/>
          </w:tcPr>
          <w:p w:rsidR="00A80456" w:rsidRPr="001F40F1" w:rsidRDefault="00A80456" w:rsidP="00124F98">
            <w:pPr>
              <w:jc w:val="right"/>
              <w:rPr>
                <w:color w:val="000000"/>
                <w:sz w:val="22"/>
                <w:lang w:val="en-PH"/>
              </w:rPr>
            </w:pPr>
            <w:r w:rsidRPr="001F40F1">
              <w:rPr>
                <w:color w:val="000000"/>
                <w:sz w:val="22"/>
                <w:lang w:val="en-PH"/>
              </w:rPr>
              <w:t>(1,330,235.13)</w:t>
            </w:r>
          </w:p>
        </w:tc>
      </w:tr>
      <w:tr w:rsidR="00A80456" w:rsidRPr="001F40F1" w:rsidTr="00BB1DA9">
        <w:trPr>
          <w:trHeight w:val="149"/>
        </w:trPr>
        <w:tc>
          <w:tcPr>
            <w:tcW w:w="6570" w:type="dxa"/>
            <w:shd w:val="clear" w:color="auto" w:fill="auto"/>
            <w:noWrap/>
            <w:vAlign w:val="center"/>
            <w:hideMark/>
          </w:tcPr>
          <w:p w:rsidR="00A80456" w:rsidRPr="001F40F1" w:rsidRDefault="00A80456" w:rsidP="00124F98">
            <w:pPr>
              <w:rPr>
                <w:b/>
                <w:bCs/>
                <w:color w:val="000000"/>
                <w:sz w:val="22"/>
                <w:lang w:val="en-PH"/>
              </w:rPr>
            </w:pPr>
            <w:r w:rsidRPr="001F40F1">
              <w:rPr>
                <w:b/>
                <w:bCs/>
                <w:color w:val="000000"/>
                <w:sz w:val="22"/>
                <w:lang w:val="en-PH"/>
              </w:rPr>
              <w:t>Carrying Amount, December 31, 2016</w:t>
            </w:r>
          </w:p>
        </w:tc>
        <w:tc>
          <w:tcPr>
            <w:tcW w:w="1710" w:type="dxa"/>
            <w:shd w:val="clear" w:color="auto" w:fill="auto"/>
            <w:noWrap/>
            <w:vAlign w:val="bottom"/>
            <w:hideMark/>
          </w:tcPr>
          <w:p w:rsidR="00A80456" w:rsidRPr="001F40F1" w:rsidRDefault="00A80456" w:rsidP="00124F98">
            <w:pPr>
              <w:jc w:val="right"/>
              <w:rPr>
                <w:b/>
                <w:color w:val="000000"/>
                <w:sz w:val="22"/>
                <w:lang w:val="en-PH"/>
              </w:rPr>
            </w:pPr>
            <w:r w:rsidRPr="001F40F1">
              <w:rPr>
                <w:b/>
                <w:color w:val="000000"/>
                <w:sz w:val="22"/>
                <w:lang w:val="en-PH"/>
              </w:rPr>
              <w:t>816,803.14</w:t>
            </w:r>
          </w:p>
        </w:tc>
      </w:tr>
    </w:tbl>
    <w:p w:rsidR="00BB1DA9" w:rsidRPr="00BB1DA9" w:rsidRDefault="00BB1DA9">
      <w:pPr>
        <w:rPr>
          <w:b/>
          <w:sz w:val="16"/>
          <w:szCs w:val="16"/>
        </w:rPr>
      </w:pPr>
      <w:r>
        <w:rPr>
          <w:b/>
          <w:szCs w:val="24"/>
        </w:rPr>
        <w:br w:type="page"/>
      </w:r>
    </w:p>
    <w:p w:rsidR="0069660C" w:rsidRDefault="0069660C" w:rsidP="00BB1DA9">
      <w:pPr>
        <w:pStyle w:val="BodyTextIndent"/>
        <w:numPr>
          <w:ilvl w:val="0"/>
          <w:numId w:val="18"/>
        </w:numPr>
        <w:ind w:left="426" w:hanging="426"/>
        <w:rPr>
          <w:b/>
          <w:szCs w:val="24"/>
        </w:rPr>
      </w:pPr>
      <w:r>
        <w:rPr>
          <w:b/>
          <w:szCs w:val="24"/>
        </w:rPr>
        <w:lastRenderedPageBreak/>
        <w:t>Property, Plant and Equipment</w:t>
      </w:r>
    </w:p>
    <w:p w:rsidR="003B64FF" w:rsidRDefault="003B64FF" w:rsidP="00124F98">
      <w:pPr>
        <w:tabs>
          <w:tab w:val="left" w:pos="360"/>
          <w:tab w:val="left" w:pos="720"/>
        </w:tabs>
        <w:jc w:val="both"/>
        <w:rPr>
          <w:b/>
          <w:i/>
          <w:sz w:val="24"/>
          <w:szCs w:val="24"/>
        </w:rPr>
      </w:pPr>
    </w:p>
    <w:p w:rsidR="00CB367B" w:rsidRPr="00776C55" w:rsidRDefault="00776C55" w:rsidP="00BB1DA9">
      <w:pPr>
        <w:pStyle w:val="BodyTextIndent"/>
        <w:ind w:left="426" w:firstLine="0"/>
      </w:pPr>
      <w:r>
        <w:t xml:space="preserve">PPE are carried at cost less accumulated depreciation. </w:t>
      </w:r>
      <w:r w:rsidR="00CB367B" w:rsidRPr="00CB367B">
        <w:rPr>
          <w:szCs w:val="24"/>
        </w:rPr>
        <w:t>This consists of the following accounts:</w:t>
      </w:r>
    </w:p>
    <w:p w:rsidR="00CB367B" w:rsidRPr="00E55775" w:rsidRDefault="00CB367B" w:rsidP="008F517D">
      <w:pPr>
        <w:tabs>
          <w:tab w:val="left" w:pos="360"/>
          <w:tab w:val="left" w:pos="720"/>
        </w:tabs>
        <w:ind w:left="180"/>
        <w:jc w:val="both"/>
        <w:rPr>
          <w:b/>
          <w:sz w:val="24"/>
          <w:szCs w:val="24"/>
        </w:rPr>
      </w:pPr>
    </w:p>
    <w:tbl>
      <w:tblPr>
        <w:tblW w:w="8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4"/>
        <w:gridCol w:w="1276"/>
        <w:gridCol w:w="1134"/>
        <w:gridCol w:w="1138"/>
        <w:gridCol w:w="1276"/>
        <w:gridCol w:w="1159"/>
        <w:gridCol w:w="1251"/>
      </w:tblGrid>
      <w:tr w:rsidR="00C672D5" w:rsidRPr="00105A6C" w:rsidTr="00BB1DA9">
        <w:trPr>
          <w:trHeight w:val="288"/>
          <w:tblHeader/>
          <w:jc w:val="center"/>
        </w:trPr>
        <w:tc>
          <w:tcPr>
            <w:tcW w:w="1564" w:type="dxa"/>
            <w:shd w:val="clear" w:color="auto" w:fill="auto"/>
            <w:noWrap/>
            <w:vAlign w:val="center"/>
            <w:hideMark/>
          </w:tcPr>
          <w:p w:rsidR="007D60FA" w:rsidRPr="00105A6C" w:rsidRDefault="000F45BD" w:rsidP="000F45BD">
            <w:pPr>
              <w:ind w:left="180" w:firstLine="18"/>
              <w:jc w:val="center"/>
              <w:rPr>
                <w:color w:val="000000"/>
                <w:sz w:val="16"/>
                <w:szCs w:val="16"/>
                <w:lang w:val="en-PH"/>
              </w:rPr>
            </w:pPr>
            <w:r w:rsidRPr="000F45BD">
              <w:rPr>
                <w:b/>
                <w:bCs/>
                <w:color w:val="000000"/>
                <w:sz w:val="16"/>
                <w:szCs w:val="16"/>
                <w:lang w:val="en-PH"/>
              </w:rPr>
              <w:t>Particulars</w:t>
            </w:r>
          </w:p>
        </w:tc>
        <w:tc>
          <w:tcPr>
            <w:tcW w:w="1276" w:type="dxa"/>
            <w:shd w:val="clear" w:color="auto" w:fill="auto"/>
            <w:noWrap/>
            <w:vAlign w:val="center"/>
            <w:hideMark/>
          </w:tcPr>
          <w:p w:rsidR="007D60FA" w:rsidRPr="00105A6C" w:rsidRDefault="007D60FA" w:rsidP="008F517D">
            <w:pPr>
              <w:ind w:left="180" w:firstLine="18"/>
              <w:jc w:val="center"/>
              <w:rPr>
                <w:b/>
                <w:bCs/>
                <w:color w:val="000000"/>
                <w:sz w:val="16"/>
                <w:szCs w:val="16"/>
                <w:lang w:val="en-PH"/>
              </w:rPr>
            </w:pPr>
            <w:r w:rsidRPr="00105A6C">
              <w:rPr>
                <w:b/>
                <w:bCs/>
                <w:color w:val="000000"/>
                <w:sz w:val="16"/>
                <w:szCs w:val="16"/>
                <w:lang w:val="en-PH"/>
              </w:rPr>
              <w:t>Land</w:t>
            </w:r>
          </w:p>
        </w:tc>
        <w:tc>
          <w:tcPr>
            <w:tcW w:w="1134" w:type="dxa"/>
            <w:shd w:val="clear" w:color="auto" w:fill="auto"/>
            <w:noWrap/>
            <w:vAlign w:val="center"/>
            <w:hideMark/>
          </w:tcPr>
          <w:p w:rsidR="007D60FA" w:rsidRPr="00105A6C" w:rsidRDefault="007D60FA" w:rsidP="005C62B9">
            <w:pPr>
              <w:ind w:left="13" w:firstLine="18"/>
              <w:jc w:val="center"/>
              <w:rPr>
                <w:b/>
                <w:bCs/>
                <w:color w:val="000000"/>
                <w:sz w:val="16"/>
                <w:szCs w:val="16"/>
                <w:lang w:val="en-PH"/>
              </w:rPr>
            </w:pPr>
            <w:r w:rsidRPr="00105A6C">
              <w:rPr>
                <w:b/>
                <w:bCs/>
                <w:color w:val="000000"/>
                <w:sz w:val="16"/>
                <w:szCs w:val="16"/>
                <w:lang w:val="en-PH"/>
              </w:rPr>
              <w:t>Furniture,</w:t>
            </w:r>
            <w:r w:rsidR="00BB1DA9">
              <w:rPr>
                <w:b/>
                <w:bCs/>
                <w:color w:val="000000"/>
                <w:sz w:val="16"/>
                <w:szCs w:val="16"/>
                <w:lang w:val="en-PH"/>
              </w:rPr>
              <w:t xml:space="preserve"> </w:t>
            </w:r>
            <w:r w:rsidRPr="00105A6C">
              <w:rPr>
                <w:b/>
                <w:bCs/>
                <w:color w:val="000000"/>
                <w:sz w:val="16"/>
                <w:szCs w:val="16"/>
                <w:lang w:val="en-PH"/>
              </w:rPr>
              <w:t>Fixtures &amp; Books</w:t>
            </w:r>
          </w:p>
        </w:tc>
        <w:tc>
          <w:tcPr>
            <w:tcW w:w="1138" w:type="dxa"/>
            <w:shd w:val="clear" w:color="auto" w:fill="auto"/>
            <w:noWrap/>
            <w:vAlign w:val="center"/>
            <w:hideMark/>
          </w:tcPr>
          <w:p w:rsidR="007D60FA" w:rsidRPr="00105A6C" w:rsidRDefault="007D60FA" w:rsidP="00BB1DA9">
            <w:pPr>
              <w:ind w:left="-108" w:right="-104"/>
              <w:jc w:val="center"/>
              <w:rPr>
                <w:b/>
                <w:bCs/>
                <w:color w:val="000000"/>
                <w:sz w:val="16"/>
                <w:szCs w:val="16"/>
                <w:lang w:val="en-PH"/>
              </w:rPr>
            </w:pPr>
            <w:r w:rsidRPr="00105A6C">
              <w:rPr>
                <w:b/>
                <w:bCs/>
                <w:color w:val="000000"/>
                <w:sz w:val="16"/>
                <w:szCs w:val="16"/>
                <w:lang w:val="en-PH"/>
              </w:rPr>
              <w:t xml:space="preserve">Other </w:t>
            </w:r>
            <w:proofErr w:type="spellStart"/>
            <w:r w:rsidRPr="00105A6C">
              <w:rPr>
                <w:b/>
                <w:bCs/>
                <w:color w:val="000000"/>
                <w:sz w:val="16"/>
                <w:szCs w:val="16"/>
                <w:lang w:val="en-PH"/>
              </w:rPr>
              <w:t>Property,Plant</w:t>
            </w:r>
            <w:proofErr w:type="spellEnd"/>
            <w:r w:rsidRPr="00105A6C">
              <w:rPr>
                <w:b/>
                <w:bCs/>
                <w:color w:val="000000"/>
                <w:sz w:val="16"/>
                <w:szCs w:val="16"/>
                <w:lang w:val="en-PH"/>
              </w:rPr>
              <w:t xml:space="preserve"> &amp;Equipment</w:t>
            </w:r>
          </w:p>
        </w:tc>
        <w:tc>
          <w:tcPr>
            <w:tcW w:w="1276" w:type="dxa"/>
            <w:shd w:val="clear" w:color="auto" w:fill="auto"/>
            <w:noWrap/>
            <w:vAlign w:val="center"/>
            <w:hideMark/>
          </w:tcPr>
          <w:p w:rsidR="007D60FA" w:rsidRPr="00105A6C" w:rsidRDefault="007D60FA" w:rsidP="005C62B9">
            <w:pPr>
              <w:ind w:left="72" w:firstLine="18"/>
              <w:jc w:val="center"/>
              <w:rPr>
                <w:b/>
                <w:bCs/>
                <w:color w:val="000000"/>
                <w:sz w:val="16"/>
                <w:szCs w:val="16"/>
                <w:lang w:val="en-PH"/>
              </w:rPr>
            </w:pPr>
            <w:r w:rsidRPr="00105A6C">
              <w:rPr>
                <w:b/>
                <w:bCs/>
                <w:color w:val="000000"/>
                <w:sz w:val="16"/>
                <w:szCs w:val="16"/>
                <w:lang w:val="en-PH"/>
              </w:rPr>
              <w:t>Building and Other Structures</w:t>
            </w:r>
          </w:p>
        </w:tc>
        <w:tc>
          <w:tcPr>
            <w:tcW w:w="1159" w:type="dxa"/>
            <w:shd w:val="clear" w:color="auto" w:fill="auto"/>
            <w:noWrap/>
            <w:vAlign w:val="center"/>
            <w:hideMark/>
          </w:tcPr>
          <w:p w:rsidR="007D60FA" w:rsidRPr="00105A6C" w:rsidRDefault="007D60FA" w:rsidP="00BB1DA9">
            <w:pPr>
              <w:ind w:left="-108"/>
              <w:jc w:val="center"/>
              <w:rPr>
                <w:b/>
                <w:bCs/>
                <w:color w:val="000000"/>
                <w:sz w:val="16"/>
                <w:szCs w:val="16"/>
                <w:lang w:val="en-PH"/>
              </w:rPr>
            </w:pPr>
            <w:r w:rsidRPr="00105A6C">
              <w:rPr>
                <w:b/>
                <w:bCs/>
                <w:color w:val="000000"/>
                <w:sz w:val="16"/>
                <w:szCs w:val="16"/>
                <w:lang w:val="en-PH"/>
              </w:rPr>
              <w:t>Machinery &amp; Equipment</w:t>
            </w:r>
          </w:p>
        </w:tc>
        <w:tc>
          <w:tcPr>
            <w:tcW w:w="1251" w:type="dxa"/>
            <w:shd w:val="clear" w:color="auto" w:fill="auto"/>
            <w:noWrap/>
            <w:vAlign w:val="center"/>
            <w:hideMark/>
          </w:tcPr>
          <w:p w:rsidR="007D60FA" w:rsidRPr="00105A6C" w:rsidRDefault="007D60FA" w:rsidP="00BB1DA9">
            <w:pPr>
              <w:jc w:val="center"/>
              <w:rPr>
                <w:b/>
                <w:bCs/>
                <w:color w:val="000000"/>
                <w:sz w:val="16"/>
                <w:szCs w:val="16"/>
                <w:lang w:val="en-PH"/>
              </w:rPr>
            </w:pPr>
            <w:r w:rsidRPr="00105A6C">
              <w:rPr>
                <w:b/>
                <w:bCs/>
                <w:color w:val="000000"/>
                <w:sz w:val="16"/>
                <w:szCs w:val="16"/>
                <w:lang w:val="en-PH"/>
              </w:rPr>
              <w:t>T</w:t>
            </w:r>
            <w:r w:rsidR="00185C90">
              <w:rPr>
                <w:b/>
                <w:bCs/>
                <w:color w:val="000000"/>
                <w:sz w:val="16"/>
                <w:szCs w:val="16"/>
                <w:lang w:val="en-PH"/>
              </w:rPr>
              <w:t>otal</w:t>
            </w:r>
          </w:p>
        </w:tc>
      </w:tr>
      <w:tr w:rsidR="002E150D" w:rsidRPr="00105A6C" w:rsidTr="00BB1DA9">
        <w:trPr>
          <w:trHeight w:val="152"/>
          <w:jc w:val="center"/>
        </w:trPr>
        <w:tc>
          <w:tcPr>
            <w:tcW w:w="1564" w:type="dxa"/>
            <w:shd w:val="clear" w:color="auto" w:fill="auto"/>
            <w:vAlign w:val="center"/>
            <w:hideMark/>
          </w:tcPr>
          <w:p w:rsidR="002E150D" w:rsidRPr="00105A6C" w:rsidRDefault="002E150D" w:rsidP="001F6AA8">
            <w:pPr>
              <w:ind w:left="-4" w:hanging="4"/>
              <w:rPr>
                <w:b/>
                <w:bCs/>
                <w:color w:val="000000"/>
                <w:sz w:val="16"/>
                <w:szCs w:val="16"/>
                <w:lang w:val="en-PH"/>
              </w:rPr>
            </w:pPr>
            <w:r>
              <w:rPr>
                <w:b/>
                <w:bCs/>
                <w:color w:val="000000"/>
                <w:sz w:val="16"/>
                <w:szCs w:val="16"/>
                <w:lang w:val="en-PH"/>
              </w:rPr>
              <w:t>Carrying Amount</w:t>
            </w:r>
            <w:r w:rsidRPr="00105A6C">
              <w:rPr>
                <w:b/>
                <w:bCs/>
                <w:color w:val="000000"/>
                <w:sz w:val="16"/>
                <w:szCs w:val="16"/>
                <w:lang w:val="en-PH"/>
              </w:rPr>
              <w:t xml:space="preserve"> January 1, 2016</w:t>
            </w:r>
          </w:p>
        </w:tc>
        <w:tc>
          <w:tcPr>
            <w:tcW w:w="1276" w:type="dxa"/>
            <w:shd w:val="clear" w:color="auto" w:fill="auto"/>
            <w:noWrap/>
            <w:vAlign w:val="center"/>
            <w:hideMark/>
          </w:tcPr>
          <w:p w:rsidR="002E150D" w:rsidRPr="00105A6C" w:rsidRDefault="002E150D" w:rsidP="00BB1DA9">
            <w:pPr>
              <w:ind w:left="-108"/>
              <w:jc w:val="right"/>
              <w:rPr>
                <w:color w:val="000000"/>
                <w:sz w:val="16"/>
                <w:szCs w:val="16"/>
                <w:lang w:val="en-PH"/>
              </w:rPr>
            </w:pPr>
            <w:r w:rsidRPr="00105A6C">
              <w:rPr>
                <w:color w:val="000000"/>
                <w:sz w:val="16"/>
                <w:szCs w:val="16"/>
                <w:lang w:val="en-PH"/>
              </w:rPr>
              <w:t>255,000,000.00</w:t>
            </w:r>
          </w:p>
        </w:tc>
        <w:tc>
          <w:tcPr>
            <w:tcW w:w="1134" w:type="dxa"/>
            <w:shd w:val="clear" w:color="auto" w:fill="auto"/>
            <w:noWrap/>
            <w:vAlign w:val="center"/>
            <w:hideMark/>
          </w:tcPr>
          <w:p w:rsidR="002E150D" w:rsidRPr="00105A6C" w:rsidRDefault="002E150D" w:rsidP="00BB1DA9">
            <w:pPr>
              <w:ind w:left="-108" w:right="-41"/>
              <w:jc w:val="right"/>
              <w:rPr>
                <w:color w:val="000000"/>
                <w:sz w:val="16"/>
                <w:szCs w:val="16"/>
                <w:lang w:val="en-PH"/>
              </w:rPr>
            </w:pPr>
            <w:r w:rsidRPr="00105A6C">
              <w:rPr>
                <w:color w:val="000000"/>
                <w:sz w:val="16"/>
                <w:szCs w:val="16"/>
                <w:lang w:val="en-PH"/>
              </w:rPr>
              <w:t>7,873,231.89 </w:t>
            </w:r>
          </w:p>
        </w:tc>
        <w:tc>
          <w:tcPr>
            <w:tcW w:w="1138" w:type="dxa"/>
            <w:shd w:val="clear" w:color="auto" w:fill="auto"/>
            <w:noWrap/>
            <w:vAlign w:val="center"/>
            <w:hideMark/>
          </w:tcPr>
          <w:p w:rsidR="002E150D" w:rsidRPr="00105A6C" w:rsidRDefault="002E150D" w:rsidP="00BB1DA9">
            <w:pPr>
              <w:ind w:left="-113"/>
              <w:jc w:val="right"/>
              <w:rPr>
                <w:color w:val="000000"/>
                <w:sz w:val="16"/>
                <w:szCs w:val="16"/>
                <w:lang w:val="en-PH"/>
              </w:rPr>
            </w:pPr>
            <w:r w:rsidRPr="00105A6C">
              <w:rPr>
                <w:color w:val="000000"/>
                <w:sz w:val="16"/>
                <w:szCs w:val="16"/>
                <w:lang w:val="en-PH"/>
              </w:rPr>
              <w:t>104,002.20</w:t>
            </w:r>
          </w:p>
        </w:tc>
        <w:tc>
          <w:tcPr>
            <w:tcW w:w="1276" w:type="dxa"/>
            <w:shd w:val="clear" w:color="auto" w:fill="auto"/>
            <w:noWrap/>
            <w:vAlign w:val="center"/>
            <w:hideMark/>
          </w:tcPr>
          <w:p w:rsidR="002E150D" w:rsidRPr="00105A6C" w:rsidRDefault="002E150D" w:rsidP="005C62B9">
            <w:pPr>
              <w:ind w:hanging="18"/>
              <w:jc w:val="right"/>
              <w:rPr>
                <w:color w:val="000000"/>
                <w:sz w:val="16"/>
                <w:szCs w:val="16"/>
                <w:lang w:val="en-PH"/>
              </w:rPr>
            </w:pPr>
            <w:r w:rsidRPr="00105A6C">
              <w:rPr>
                <w:color w:val="000000"/>
                <w:sz w:val="16"/>
                <w:szCs w:val="16"/>
                <w:lang w:val="en-PH"/>
              </w:rPr>
              <w:t>19,285,622.92</w:t>
            </w:r>
          </w:p>
        </w:tc>
        <w:tc>
          <w:tcPr>
            <w:tcW w:w="1159" w:type="dxa"/>
            <w:shd w:val="clear" w:color="auto" w:fill="auto"/>
            <w:noWrap/>
            <w:vAlign w:val="center"/>
            <w:hideMark/>
          </w:tcPr>
          <w:p w:rsidR="002E150D" w:rsidRPr="00105A6C" w:rsidRDefault="002E150D" w:rsidP="00BB1DA9">
            <w:pPr>
              <w:ind w:left="-108"/>
              <w:jc w:val="right"/>
              <w:rPr>
                <w:color w:val="000000"/>
                <w:sz w:val="16"/>
                <w:szCs w:val="16"/>
                <w:lang w:val="en-PH"/>
              </w:rPr>
            </w:pPr>
            <w:r w:rsidRPr="00105A6C">
              <w:rPr>
                <w:color w:val="000000"/>
                <w:sz w:val="16"/>
                <w:szCs w:val="16"/>
                <w:lang w:val="en-PH"/>
              </w:rPr>
              <w:t> 42,048,844.24</w:t>
            </w:r>
          </w:p>
        </w:tc>
        <w:tc>
          <w:tcPr>
            <w:tcW w:w="1251" w:type="dxa"/>
            <w:shd w:val="clear" w:color="auto" w:fill="auto"/>
            <w:noWrap/>
            <w:vAlign w:val="center"/>
            <w:hideMark/>
          </w:tcPr>
          <w:p w:rsidR="002E150D" w:rsidRPr="00105A6C" w:rsidRDefault="002E150D" w:rsidP="00BB1DA9">
            <w:pPr>
              <w:ind w:left="-133"/>
              <w:jc w:val="right"/>
              <w:rPr>
                <w:color w:val="000000"/>
                <w:sz w:val="16"/>
                <w:szCs w:val="16"/>
                <w:lang w:val="en-PH"/>
              </w:rPr>
            </w:pPr>
            <w:r w:rsidRPr="00105A6C">
              <w:rPr>
                <w:color w:val="000000"/>
                <w:sz w:val="16"/>
                <w:szCs w:val="16"/>
                <w:lang w:val="en-PH"/>
              </w:rPr>
              <w:t>324,311,701.25 </w:t>
            </w:r>
          </w:p>
        </w:tc>
      </w:tr>
      <w:tr w:rsidR="00792C8F" w:rsidRPr="00105A6C" w:rsidTr="00BB1DA9">
        <w:trPr>
          <w:trHeight w:val="143"/>
          <w:jc w:val="center"/>
        </w:trPr>
        <w:tc>
          <w:tcPr>
            <w:tcW w:w="1564" w:type="dxa"/>
            <w:shd w:val="clear" w:color="auto" w:fill="auto"/>
            <w:vAlign w:val="center"/>
            <w:hideMark/>
          </w:tcPr>
          <w:p w:rsidR="007D60FA" w:rsidRPr="00105A6C" w:rsidRDefault="00E55775" w:rsidP="001F6AA8">
            <w:pPr>
              <w:ind w:left="-4" w:hanging="4"/>
              <w:rPr>
                <w:color w:val="000000"/>
                <w:sz w:val="16"/>
                <w:szCs w:val="16"/>
                <w:lang w:val="en-PH"/>
              </w:rPr>
            </w:pPr>
            <w:r>
              <w:rPr>
                <w:color w:val="000000"/>
                <w:sz w:val="16"/>
                <w:szCs w:val="16"/>
                <w:lang w:val="en-PH"/>
              </w:rPr>
              <w:t xml:space="preserve">Additions/ </w:t>
            </w:r>
            <w:r w:rsidR="007D60FA" w:rsidRPr="00105A6C">
              <w:rPr>
                <w:color w:val="000000"/>
                <w:sz w:val="16"/>
                <w:szCs w:val="16"/>
                <w:lang w:val="en-PH"/>
              </w:rPr>
              <w:t>Acquisitions</w:t>
            </w:r>
          </w:p>
        </w:tc>
        <w:tc>
          <w:tcPr>
            <w:tcW w:w="1276" w:type="dxa"/>
            <w:shd w:val="clear" w:color="auto" w:fill="auto"/>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 104,950.00</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w:t>
            </w:r>
          </w:p>
        </w:tc>
        <w:tc>
          <w:tcPr>
            <w:tcW w:w="1276" w:type="dxa"/>
            <w:shd w:val="clear" w:color="auto" w:fill="auto"/>
            <w:noWrap/>
            <w:vAlign w:val="center"/>
            <w:hideMark/>
          </w:tcPr>
          <w:p w:rsidR="007D60FA" w:rsidRPr="00105A6C" w:rsidRDefault="00105A6C" w:rsidP="005C62B9">
            <w:pPr>
              <w:ind w:hanging="18"/>
              <w:jc w:val="right"/>
              <w:rPr>
                <w:color w:val="000000"/>
                <w:sz w:val="16"/>
                <w:szCs w:val="16"/>
                <w:lang w:val="en-PH"/>
              </w:rPr>
            </w:pPr>
            <w:r w:rsidRPr="00105A6C">
              <w:rPr>
                <w:color w:val="000000"/>
                <w:sz w:val="16"/>
                <w:szCs w:val="16"/>
                <w:lang w:val="en-PH"/>
              </w:rPr>
              <w:t>5,485,244.09</w:t>
            </w:r>
          </w:p>
        </w:tc>
        <w:tc>
          <w:tcPr>
            <w:tcW w:w="1159" w:type="dxa"/>
            <w:shd w:val="clear" w:color="auto" w:fill="auto"/>
            <w:noWrap/>
            <w:vAlign w:val="center"/>
            <w:hideMark/>
          </w:tcPr>
          <w:p w:rsidR="007D60FA" w:rsidRPr="00105A6C" w:rsidRDefault="00105A6C" w:rsidP="00BB1DA9">
            <w:pPr>
              <w:ind w:left="-108"/>
              <w:jc w:val="right"/>
              <w:rPr>
                <w:color w:val="000000"/>
                <w:sz w:val="16"/>
                <w:szCs w:val="16"/>
                <w:lang w:val="en-PH"/>
              </w:rPr>
            </w:pPr>
            <w:r>
              <w:rPr>
                <w:color w:val="000000"/>
                <w:sz w:val="16"/>
                <w:szCs w:val="16"/>
                <w:lang w:val="en-PH"/>
              </w:rPr>
              <w:t>3,572,112.57</w:t>
            </w:r>
          </w:p>
        </w:tc>
        <w:tc>
          <w:tcPr>
            <w:tcW w:w="1251" w:type="dxa"/>
            <w:shd w:val="clear" w:color="auto" w:fill="auto"/>
            <w:noWrap/>
            <w:vAlign w:val="center"/>
            <w:hideMark/>
          </w:tcPr>
          <w:p w:rsidR="007D60FA" w:rsidRPr="00105A6C" w:rsidRDefault="00105A6C" w:rsidP="00BB1DA9">
            <w:pPr>
              <w:ind w:left="-133"/>
              <w:jc w:val="right"/>
              <w:rPr>
                <w:color w:val="000000"/>
                <w:sz w:val="16"/>
                <w:szCs w:val="16"/>
                <w:lang w:val="en-PH"/>
              </w:rPr>
            </w:pPr>
            <w:r>
              <w:rPr>
                <w:color w:val="000000"/>
                <w:sz w:val="16"/>
                <w:szCs w:val="16"/>
                <w:lang w:val="en-PH"/>
              </w:rPr>
              <w:t>9,162,306.66</w:t>
            </w:r>
          </w:p>
        </w:tc>
      </w:tr>
      <w:tr w:rsidR="00792C8F" w:rsidRPr="00105A6C" w:rsidTr="00BB1DA9">
        <w:trPr>
          <w:trHeight w:val="70"/>
          <w:jc w:val="center"/>
        </w:trPr>
        <w:tc>
          <w:tcPr>
            <w:tcW w:w="1564" w:type="dxa"/>
            <w:shd w:val="clear" w:color="auto" w:fill="auto"/>
            <w:vAlign w:val="center"/>
            <w:hideMark/>
          </w:tcPr>
          <w:p w:rsidR="00105A6C" w:rsidRPr="00105A6C" w:rsidRDefault="00105A6C" w:rsidP="001F6AA8">
            <w:pPr>
              <w:ind w:left="-4" w:hanging="4"/>
              <w:rPr>
                <w:color w:val="000000"/>
                <w:sz w:val="16"/>
                <w:szCs w:val="16"/>
                <w:lang w:val="en-PH"/>
              </w:rPr>
            </w:pPr>
            <w:r w:rsidRPr="00105A6C">
              <w:rPr>
                <w:color w:val="000000"/>
                <w:sz w:val="16"/>
                <w:szCs w:val="16"/>
                <w:lang w:val="en-PH"/>
              </w:rPr>
              <w:t>Reclassification</w:t>
            </w:r>
          </w:p>
        </w:tc>
        <w:tc>
          <w:tcPr>
            <w:tcW w:w="1276" w:type="dxa"/>
            <w:shd w:val="clear" w:color="auto" w:fill="auto"/>
            <w:vAlign w:val="center"/>
            <w:hideMark/>
          </w:tcPr>
          <w:p w:rsidR="00105A6C" w:rsidRPr="00105A6C" w:rsidRDefault="00105A6C" w:rsidP="00BB1DA9">
            <w:pPr>
              <w:ind w:left="-108"/>
              <w:jc w:val="right"/>
              <w:rPr>
                <w:color w:val="000000"/>
                <w:sz w:val="16"/>
                <w:szCs w:val="16"/>
                <w:lang w:val="en-PH"/>
              </w:rPr>
            </w:pPr>
          </w:p>
        </w:tc>
        <w:tc>
          <w:tcPr>
            <w:tcW w:w="1134" w:type="dxa"/>
            <w:shd w:val="clear" w:color="auto" w:fill="auto"/>
            <w:noWrap/>
            <w:vAlign w:val="center"/>
            <w:hideMark/>
          </w:tcPr>
          <w:p w:rsidR="00105A6C" w:rsidRPr="00105A6C" w:rsidRDefault="00105A6C" w:rsidP="00BB1DA9">
            <w:pPr>
              <w:ind w:left="-108" w:right="-41"/>
              <w:jc w:val="right"/>
              <w:rPr>
                <w:color w:val="000000"/>
                <w:sz w:val="16"/>
                <w:szCs w:val="16"/>
                <w:lang w:val="en-PH"/>
              </w:rPr>
            </w:pPr>
            <w:r w:rsidRPr="00105A6C">
              <w:rPr>
                <w:color w:val="000000"/>
                <w:sz w:val="16"/>
                <w:szCs w:val="16"/>
                <w:lang w:val="en-PH"/>
              </w:rPr>
              <w:t>(151,487.93)</w:t>
            </w:r>
          </w:p>
        </w:tc>
        <w:tc>
          <w:tcPr>
            <w:tcW w:w="1138" w:type="dxa"/>
            <w:shd w:val="clear" w:color="auto" w:fill="auto"/>
            <w:noWrap/>
            <w:vAlign w:val="center"/>
            <w:hideMark/>
          </w:tcPr>
          <w:p w:rsidR="00105A6C" w:rsidRPr="00105A6C" w:rsidRDefault="00105A6C" w:rsidP="00BB1DA9">
            <w:pPr>
              <w:ind w:left="-113"/>
              <w:jc w:val="right"/>
              <w:rPr>
                <w:color w:val="000000"/>
                <w:sz w:val="16"/>
                <w:szCs w:val="16"/>
                <w:lang w:val="en-PH"/>
              </w:rPr>
            </w:pPr>
            <w:r w:rsidRPr="00105A6C">
              <w:rPr>
                <w:color w:val="000000"/>
                <w:sz w:val="16"/>
                <w:szCs w:val="16"/>
                <w:lang w:val="en-PH"/>
              </w:rPr>
              <w:t>(2,583.60)</w:t>
            </w:r>
          </w:p>
        </w:tc>
        <w:tc>
          <w:tcPr>
            <w:tcW w:w="1276" w:type="dxa"/>
            <w:shd w:val="clear" w:color="auto" w:fill="auto"/>
            <w:noWrap/>
            <w:vAlign w:val="center"/>
            <w:hideMark/>
          </w:tcPr>
          <w:p w:rsidR="00105A6C" w:rsidRPr="00105A6C" w:rsidRDefault="00105A6C" w:rsidP="005C62B9">
            <w:pPr>
              <w:ind w:hanging="18"/>
              <w:jc w:val="right"/>
              <w:rPr>
                <w:color w:val="000000"/>
                <w:sz w:val="16"/>
                <w:szCs w:val="16"/>
                <w:lang w:val="en-PH"/>
              </w:rPr>
            </w:pPr>
            <w:r>
              <w:rPr>
                <w:color w:val="000000"/>
                <w:sz w:val="16"/>
                <w:szCs w:val="16"/>
                <w:lang w:val="en-PH"/>
              </w:rPr>
              <w:t>(123,547.76)</w:t>
            </w:r>
          </w:p>
        </w:tc>
        <w:tc>
          <w:tcPr>
            <w:tcW w:w="1159" w:type="dxa"/>
            <w:shd w:val="clear" w:color="auto" w:fill="auto"/>
            <w:noWrap/>
            <w:vAlign w:val="center"/>
            <w:hideMark/>
          </w:tcPr>
          <w:p w:rsidR="00105A6C" w:rsidRPr="00105A6C" w:rsidRDefault="00A925C5" w:rsidP="00BB1DA9">
            <w:pPr>
              <w:ind w:left="-108"/>
              <w:jc w:val="right"/>
              <w:rPr>
                <w:color w:val="000000"/>
                <w:sz w:val="16"/>
                <w:szCs w:val="16"/>
                <w:lang w:val="en-PH"/>
              </w:rPr>
            </w:pPr>
            <w:r>
              <w:rPr>
                <w:color w:val="000000"/>
                <w:sz w:val="16"/>
                <w:szCs w:val="16"/>
                <w:lang w:val="en-PH"/>
              </w:rPr>
              <w:t>(95,685.93)</w:t>
            </w:r>
          </w:p>
        </w:tc>
        <w:tc>
          <w:tcPr>
            <w:tcW w:w="1251" w:type="dxa"/>
            <w:shd w:val="clear" w:color="auto" w:fill="auto"/>
            <w:noWrap/>
            <w:vAlign w:val="center"/>
            <w:hideMark/>
          </w:tcPr>
          <w:p w:rsidR="00105A6C" w:rsidRPr="00105A6C" w:rsidRDefault="00105A6C" w:rsidP="00BB1DA9">
            <w:pPr>
              <w:ind w:left="-133"/>
              <w:jc w:val="right"/>
              <w:rPr>
                <w:color w:val="000000"/>
                <w:sz w:val="16"/>
                <w:szCs w:val="16"/>
                <w:lang w:val="en-PH"/>
              </w:rPr>
            </w:pPr>
            <w:r>
              <w:rPr>
                <w:color w:val="000000"/>
                <w:sz w:val="16"/>
                <w:szCs w:val="16"/>
                <w:lang w:val="en-PH"/>
              </w:rPr>
              <w:t>(373,305.22)</w:t>
            </w:r>
          </w:p>
        </w:tc>
      </w:tr>
      <w:tr w:rsidR="00792C8F" w:rsidRPr="00105A6C" w:rsidTr="00BB1DA9">
        <w:trPr>
          <w:trHeight w:val="70"/>
          <w:jc w:val="center"/>
        </w:trPr>
        <w:tc>
          <w:tcPr>
            <w:tcW w:w="1564" w:type="dxa"/>
            <w:shd w:val="clear" w:color="auto" w:fill="auto"/>
            <w:vAlign w:val="center"/>
            <w:hideMark/>
          </w:tcPr>
          <w:p w:rsidR="007D60FA" w:rsidRPr="00105A6C" w:rsidRDefault="00105A6C" w:rsidP="001F6AA8">
            <w:pPr>
              <w:ind w:left="-4" w:hanging="4"/>
              <w:rPr>
                <w:b/>
                <w:bCs/>
                <w:color w:val="000000"/>
                <w:sz w:val="16"/>
                <w:szCs w:val="16"/>
                <w:lang w:val="en-PH"/>
              </w:rPr>
            </w:pPr>
            <w:r>
              <w:rPr>
                <w:b/>
                <w:bCs/>
                <w:color w:val="000000"/>
                <w:sz w:val="16"/>
                <w:szCs w:val="16"/>
                <w:lang w:val="en-PH"/>
              </w:rPr>
              <w:t>Sub-t</w:t>
            </w:r>
            <w:r w:rsidR="007D60FA" w:rsidRPr="00105A6C">
              <w:rPr>
                <w:b/>
                <w:bCs/>
                <w:color w:val="000000"/>
                <w:sz w:val="16"/>
                <w:szCs w:val="16"/>
                <w:lang w:val="en-PH"/>
              </w:rPr>
              <w:t>otal</w:t>
            </w:r>
          </w:p>
        </w:tc>
        <w:tc>
          <w:tcPr>
            <w:tcW w:w="1276" w:type="dxa"/>
            <w:shd w:val="clear" w:color="auto" w:fill="auto"/>
            <w:vAlign w:val="center"/>
            <w:hideMark/>
          </w:tcPr>
          <w:p w:rsidR="007D60FA" w:rsidRPr="00105A6C" w:rsidRDefault="007D60FA" w:rsidP="00BB1DA9">
            <w:pPr>
              <w:ind w:left="-108"/>
              <w:jc w:val="right"/>
              <w:rPr>
                <w:b/>
                <w:color w:val="000000"/>
                <w:sz w:val="16"/>
                <w:szCs w:val="16"/>
                <w:lang w:val="en-PH"/>
              </w:rPr>
            </w:pPr>
            <w:r w:rsidRPr="00105A6C">
              <w:rPr>
                <w:b/>
                <w:color w:val="000000"/>
                <w:sz w:val="16"/>
                <w:szCs w:val="16"/>
                <w:lang w:val="en-PH"/>
              </w:rPr>
              <w:t>255,000,000.00</w:t>
            </w:r>
          </w:p>
        </w:tc>
        <w:tc>
          <w:tcPr>
            <w:tcW w:w="1134" w:type="dxa"/>
            <w:shd w:val="clear" w:color="auto" w:fill="auto"/>
            <w:noWrap/>
            <w:vAlign w:val="center"/>
            <w:hideMark/>
          </w:tcPr>
          <w:p w:rsidR="007D60FA" w:rsidRPr="00105A6C" w:rsidRDefault="007D60FA" w:rsidP="00BB1DA9">
            <w:pPr>
              <w:ind w:left="-108" w:right="-41"/>
              <w:jc w:val="right"/>
              <w:rPr>
                <w:b/>
                <w:color w:val="000000"/>
                <w:sz w:val="16"/>
                <w:szCs w:val="16"/>
                <w:lang w:val="en-PH"/>
              </w:rPr>
            </w:pPr>
            <w:r w:rsidRPr="00105A6C">
              <w:rPr>
                <w:color w:val="000000"/>
                <w:sz w:val="16"/>
                <w:szCs w:val="16"/>
                <w:lang w:val="en-PH"/>
              </w:rPr>
              <w:t> </w:t>
            </w:r>
            <w:r w:rsidRPr="00105A6C">
              <w:rPr>
                <w:b/>
                <w:color w:val="000000"/>
                <w:sz w:val="16"/>
                <w:szCs w:val="16"/>
                <w:lang w:val="en-PH"/>
              </w:rPr>
              <w:t>7,</w:t>
            </w:r>
            <w:r w:rsidR="00105A6C">
              <w:rPr>
                <w:b/>
                <w:color w:val="000000"/>
                <w:sz w:val="16"/>
                <w:szCs w:val="16"/>
                <w:lang w:val="en-PH"/>
              </w:rPr>
              <w:t>826,693.96</w:t>
            </w:r>
          </w:p>
        </w:tc>
        <w:tc>
          <w:tcPr>
            <w:tcW w:w="1138" w:type="dxa"/>
            <w:shd w:val="clear" w:color="auto" w:fill="auto"/>
            <w:noWrap/>
            <w:vAlign w:val="center"/>
            <w:hideMark/>
          </w:tcPr>
          <w:p w:rsidR="007D60FA" w:rsidRPr="00105A6C" w:rsidRDefault="00105A6C" w:rsidP="00BB1DA9">
            <w:pPr>
              <w:ind w:left="-113"/>
              <w:jc w:val="right"/>
              <w:rPr>
                <w:b/>
                <w:color w:val="000000"/>
                <w:sz w:val="16"/>
                <w:szCs w:val="16"/>
                <w:lang w:val="en-PH"/>
              </w:rPr>
            </w:pPr>
            <w:r>
              <w:rPr>
                <w:b/>
                <w:color w:val="000000"/>
                <w:sz w:val="16"/>
                <w:szCs w:val="16"/>
                <w:lang w:val="en-PH"/>
              </w:rPr>
              <w:t>101,418.6</w:t>
            </w:r>
            <w:r w:rsidR="007D60FA" w:rsidRPr="00105A6C">
              <w:rPr>
                <w:b/>
                <w:color w:val="000000"/>
                <w:sz w:val="16"/>
                <w:szCs w:val="16"/>
                <w:lang w:val="en-PH"/>
              </w:rPr>
              <w:t>0 </w:t>
            </w:r>
          </w:p>
        </w:tc>
        <w:tc>
          <w:tcPr>
            <w:tcW w:w="1276" w:type="dxa"/>
            <w:shd w:val="clear" w:color="auto" w:fill="auto"/>
            <w:noWrap/>
            <w:vAlign w:val="center"/>
            <w:hideMark/>
          </w:tcPr>
          <w:p w:rsidR="007D60FA" w:rsidRPr="00105A6C" w:rsidRDefault="00105A6C" w:rsidP="005C62B9">
            <w:pPr>
              <w:ind w:hanging="18"/>
              <w:jc w:val="right"/>
              <w:rPr>
                <w:b/>
                <w:color w:val="000000"/>
                <w:sz w:val="16"/>
                <w:szCs w:val="16"/>
                <w:lang w:val="en-PH"/>
              </w:rPr>
            </w:pPr>
            <w:r>
              <w:rPr>
                <w:b/>
                <w:color w:val="000000"/>
                <w:sz w:val="16"/>
                <w:szCs w:val="16"/>
                <w:lang w:val="en-PH"/>
              </w:rPr>
              <w:t>24,647,319.25</w:t>
            </w:r>
          </w:p>
        </w:tc>
        <w:tc>
          <w:tcPr>
            <w:tcW w:w="1159" w:type="dxa"/>
            <w:shd w:val="clear" w:color="auto" w:fill="auto"/>
            <w:noWrap/>
            <w:vAlign w:val="center"/>
            <w:hideMark/>
          </w:tcPr>
          <w:p w:rsidR="007D60FA" w:rsidRPr="00105A6C" w:rsidRDefault="00105A6C" w:rsidP="00BB1DA9">
            <w:pPr>
              <w:ind w:left="-108"/>
              <w:jc w:val="right"/>
              <w:rPr>
                <w:b/>
                <w:color w:val="000000"/>
                <w:sz w:val="16"/>
                <w:szCs w:val="16"/>
                <w:lang w:val="en-PH"/>
              </w:rPr>
            </w:pPr>
            <w:r>
              <w:rPr>
                <w:b/>
                <w:color w:val="000000"/>
                <w:sz w:val="16"/>
                <w:szCs w:val="16"/>
                <w:lang w:val="en-PH"/>
              </w:rPr>
              <w:t>45,525,270.88</w:t>
            </w:r>
            <w:r w:rsidR="007D60FA" w:rsidRPr="00105A6C">
              <w:rPr>
                <w:b/>
                <w:color w:val="000000"/>
                <w:sz w:val="16"/>
                <w:szCs w:val="16"/>
                <w:lang w:val="en-PH"/>
              </w:rPr>
              <w:t> </w:t>
            </w:r>
          </w:p>
        </w:tc>
        <w:tc>
          <w:tcPr>
            <w:tcW w:w="1251" w:type="dxa"/>
            <w:shd w:val="clear" w:color="auto" w:fill="auto"/>
            <w:noWrap/>
            <w:vAlign w:val="center"/>
            <w:hideMark/>
          </w:tcPr>
          <w:p w:rsidR="007D60FA" w:rsidRPr="00105A6C" w:rsidRDefault="00105A6C" w:rsidP="00BB1DA9">
            <w:pPr>
              <w:ind w:left="-133"/>
              <w:jc w:val="right"/>
              <w:rPr>
                <w:b/>
                <w:color w:val="000000"/>
                <w:sz w:val="16"/>
                <w:szCs w:val="16"/>
                <w:lang w:val="en-PH"/>
              </w:rPr>
            </w:pPr>
            <w:r>
              <w:rPr>
                <w:b/>
                <w:color w:val="000000"/>
                <w:sz w:val="16"/>
                <w:szCs w:val="16"/>
                <w:lang w:val="en-PH"/>
              </w:rPr>
              <w:t>333,100,702.69</w:t>
            </w:r>
            <w:r w:rsidR="007D60FA" w:rsidRPr="00105A6C">
              <w:rPr>
                <w:b/>
                <w:color w:val="000000"/>
                <w:sz w:val="16"/>
                <w:szCs w:val="16"/>
                <w:lang w:val="en-PH"/>
              </w:rPr>
              <w:t> </w:t>
            </w:r>
          </w:p>
        </w:tc>
      </w:tr>
      <w:tr w:rsidR="00792C8F" w:rsidRPr="00105A6C" w:rsidTr="00BB1DA9">
        <w:trPr>
          <w:trHeight w:val="70"/>
          <w:jc w:val="center"/>
        </w:trPr>
        <w:tc>
          <w:tcPr>
            <w:tcW w:w="1564" w:type="dxa"/>
            <w:shd w:val="clear" w:color="auto" w:fill="auto"/>
            <w:vAlign w:val="center"/>
            <w:hideMark/>
          </w:tcPr>
          <w:p w:rsidR="007D60FA" w:rsidRPr="00105A6C" w:rsidRDefault="007D60FA" w:rsidP="001F6AA8">
            <w:pPr>
              <w:ind w:left="-4" w:hanging="4"/>
              <w:rPr>
                <w:i/>
                <w:iCs/>
                <w:color w:val="000000"/>
                <w:sz w:val="16"/>
                <w:szCs w:val="16"/>
                <w:lang w:val="en-PH"/>
              </w:rPr>
            </w:pPr>
            <w:r w:rsidRPr="00105A6C">
              <w:rPr>
                <w:i/>
                <w:iCs/>
                <w:color w:val="000000"/>
                <w:sz w:val="16"/>
                <w:szCs w:val="16"/>
                <w:lang w:val="en-PH"/>
              </w:rPr>
              <w:t>Disposals</w:t>
            </w:r>
          </w:p>
        </w:tc>
        <w:tc>
          <w:tcPr>
            <w:tcW w:w="1276" w:type="dxa"/>
            <w:shd w:val="clear" w:color="auto" w:fill="auto"/>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 </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 </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251" w:type="dxa"/>
            <w:shd w:val="clear" w:color="auto" w:fill="auto"/>
            <w:noWrap/>
            <w:vAlign w:val="center"/>
            <w:hideMark/>
          </w:tcPr>
          <w:p w:rsidR="007D60FA" w:rsidRPr="00105A6C" w:rsidRDefault="007D60FA" w:rsidP="00BB1DA9">
            <w:pPr>
              <w:ind w:left="-133"/>
              <w:jc w:val="right"/>
              <w:rPr>
                <w:color w:val="000000"/>
                <w:sz w:val="16"/>
                <w:szCs w:val="16"/>
                <w:lang w:val="en-PH"/>
              </w:rPr>
            </w:pPr>
            <w:r w:rsidRPr="00105A6C">
              <w:rPr>
                <w:color w:val="000000"/>
                <w:sz w:val="16"/>
                <w:szCs w:val="16"/>
                <w:lang w:val="en-PH"/>
              </w:rPr>
              <w:t>- </w:t>
            </w:r>
          </w:p>
        </w:tc>
      </w:tr>
      <w:tr w:rsidR="00792C8F" w:rsidRPr="00105A6C" w:rsidTr="00BB1DA9">
        <w:trPr>
          <w:trHeight w:val="70"/>
          <w:jc w:val="center"/>
        </w:trPr>
        <w:tc>
          <w:tcPr>
            <w:tcW w:w="1564" w:type="dxa"/>
            <w:shd w:val="clear" w:color="auto" w:fill="auto"/>
            <w:noWrap/>
            <w:vAlign w:val="center"/>
            <w:hideMark/>
          </w:tcPr>
          <w:p w:rsidR="007D60FA" w:rsidRPr="00105A6C" w:rsidRDefault="007D60FA" w:rsidP="001F6AA8">
            <w:pPr>
              <w:ind w:left="-4" w:hanging="4"/>
              <w:rPr>
                <w:i/>
                <w:iCs/>
                <w:color w:val="000000"/>
                <w:sz w:val="16"/>
                <w:szCs w:val="16"/>
                <w:lang w:val="en-PH"/>
              </w:rPr>
            </w:pPr>
            <w:r w:rsidRPr="00105A6C">
              <w:rPr>
                <w:i/>
                <w:iCs/>
                <w:color w:val="000000"/>
                <w:sz w:val="16"/>
                <w:szCs w:val="16"/>
                <w:lang w:val="en-PH"/>
              </w:rPr>
              <w:t xml:space="preserve">Depreciation </w:t>
            </w:r>
          </w:p>
        </w:tc>
        <w:tc>
          <w:tcPr>
            <w:tcW w:w="1276" w:type="dxa"/>
            <w:shd w:val="clear" w:color="auto" w:fill="auto"/>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214,362.68 </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 529,554.05</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5,116,849.46</w:t>
            </w:r>
          </w:p>
        </w:tc>
        <w:tc>
          <w:tcPr>
            <w:tcW w:w="1251" w:type="dxa"/>
            <w:shd w:val="clear" w:color="auto" w:fill="auto"/>
            <w:noWrap/>
            <w:vAlign w:val="center"/>
            <w:hideMark/>
          </w:tcPr>
          <w:p w:rsidR="007D60FA" w:rsidRPr="00105A6C" w:rsidRDefault="007D60FA" w:rsidP="00BB1DA9">
            <w:pPr>
              <w:ind w:left="-133"/>
              <w:jc w:val="right"/>
              <w:rPr>
                <w:color w:val="000000"/>
                <w:sz w:val="16"/>
                <w:szCs w:val="16"/>
                <w:lang w:val="en-PH"/>
              </w:rPr>
            </w:pPr>
            <w:r w:rsidRPr="00105A6C">
              <w:rPr>
                <w:color w:val="000000"/>
                <w:sz w:val="16"/>
                <w:szCs w:val="16"/>
                <w:lang w:val="en-PH"/>
              </w:rPr>
              <w:t>5,860,766.19 </w:t>
            </w:r>
          </w:p>
        </w:tc>
      </w:tr>
      <w:tr w:rsidR="00792C8F" w:rsidRPr="00105A6C" w:rsidTr="00BB1DA9">
        <w:trPr>
          <w:trHeight w:val="152"/>
          <w:jc w:val="center"/>
        </w:trPr>
        <w:tc>
          <w:tcPr>
            <w:tcW w:w="1564" w:type="dxa"/>
            <w:shd w:val="clear" w:color="auto" w:fill="auto"/>
            <w:noWrap/>
            <w:vAlign w:val="center"/>
            <w:hideMark/>
          </w:tcPr>
          <w:p w:rsidR="007D60FA" w:rsidRPr="00105A6C" w:rsidRDefault="007D60FA" w:rsidP="001F6AA8">
            <w:pPr>
              <w:ind w:left="-4" w:hanging="4"/>
              <w:rPr>
                <w:i/>
                <w:iCs/>
                <w:color w:val="000000"/>
                <w:sz w:val="16"/>
                <w:szCs w:val="16"/>
                <w:lang w:val="en-PH"/>
              </w:rPr>
            </w:pPr>
            <w:r w:rsidRPr="00105A6C">
              <w:rPr>
                <w:i/>
                <w:iCs/>
                <w:color w:val="000000"/>
                <w:sz w:val="16"/>
                <w:szCs w:val="16"/>
                <w:lang w:val="en-PH"/>
              </w:rPr>
              <w:t xml:space="preserve">Impairment Loss </w:t>
            </w:r>
          </w:p>
        </w:tc>
        <w:tc>
          <w:tcPr>
            <w:tcW w:w="1276"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 </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 </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251" w:type="dxa"/>
            <w:shd w:val="clear" w:color="auto" w:fill="auto"/>
            <w:noWrap/>
            <w:vAlign w:val="center"/>
            <w:hideMark/>
          </w:tcPr>
          <w:p w:rsidR="007D60FA" w:rsidRPr="00105A6C" w:rsidRDefault="007D60FA" w:rsidP="00BB1DA9">
            <w:pPr>
              <w:ind w:left="-133"/>
              <w:jc w:val="right"/>
              <w:rPr>
                <w:color w:val="000000"/>
                <w:sz w:val="16"/>
                <w:szCs w:val="16"/>
                <w:lang w:val="en-PH"/>
              </w:rPr>
            </w:pPr>
            <w:r w:rsidRPr="00105A6C">
              <w:rPr>
                <w:color w:val="000000"/>
                <w:sz w:val="16"/>
                <w:szCs w:val="16"/>
                <w:lang w:val="en-PH"/>
              </w:rPr>
              <w:t>- </w:t>
            </w:r>
          </w:p>
        </w:tc>
      </w:tr>
      <w:tr w:rsidR="00792C8F" w:rsidRPr="00105A6C" w:rsidTr="00BB1DA9">
        <w:trPr>
          <w:trHeight w:val="143"/>
          <w:jc w:val="center"/>
        </w:trPr>
        <w:tc>
          <w:tcPr>
            <w:tcW w:w="1564" w:type="dxa"/>
            <w:shd w:val="clear" w:color="auto" w:fill="auto"/>
            <w:noWrap/>
            <w:vAlign w:val="center"/>
            <w:hideMark/>
          </w:tcPr>
          <w:p w:rsidR="00DD6090" w:rsidRPr="00105A6C" w:rsidRDefault="00DD6090" w:rsidP="001F6AA8">
            <w:pPr>
              <w:ind w:left="-4" w:hanging="4"/>
              <w:rPr>
                <w:b/>
                <w:bCs/>
                <w:color w:val="000000"/>
                <w:sz w:val="16"/>
                <w:szCs w:val="16"/>
                <w:lang w:val="en-PH"/>
              </w:rPr>
            </w:pPr>
            <w:r w:rsidRPr="00105A6C">
              <w:rPr>
                <w:b/>
                <w:bCs/>
                <w:color w:val="000000"/>
                <w:sz w:val="16"/>
                <w:szCs w:val="16"/>
                <w:lang w:val="en-PH"/>
              </w:rPr>
              <w:t xml:space="preserve">Carrying Amount, 12/31/2016     </w:t>
            </w:r>
          </w:p>
        </w:tc>
        <w:tc>
          <w:tcPr>
            <w:tcW w:w="1276" w:type="dxa"/>
            <w:shd w:val="clear" w:color="auto" w:fill="auto"/>
            <w:vAlign w:val="center"/>
            <w:hideMark/>
          </w:tcPr>
          <w:p w:rsidR="00DD6090" w:rsidRPr="00105A6C" w:rsidRDefault="005C62B9" w:rsidP="00BB1DA9">
            <w:pPr>
              <w:ind w:left="-108"/>
              <w:jc w:val="right"/>
              <w:rPr>
                <w:b/>
                <w:color w:val="000000"/>
                <w:sz w:val="16"/>
                <w:szCs w:val="16"/>
                <w:lang w:val="en-PH"/>
              </w:rPr>
            </w:pPr>
            <w:r>
              <w:rPr>
                <w:b/>
                <w:color w:val="000000"/>
                <w:sz w:val="16"/>
                <w:szCs w:val="16"/>
                <w:lang w:val="en-PH"/>
              </w:rPr>
              <w:t>255,000,000.0</w:t>
            </w:r>
            <w:r w:rsidR="00DD6090" w:rsidRPr="00105A6C">
              <w:rPr>
                <w:b/>
                <w:color w:val="000000"/>
                <w:sz w:val="16"/>
                <w:szCs w:val="16"/>
                <w:lang w:val="en-PH"/>
              </w:rPr>
              <w:t> </w:t>
            </w:r>
          </w:p>
        </w:tc>
        <w:tc>
          <w:tcPr>
            <w:tcW w:w="1134" w:type="dxa"/>
            <w:shd w:val="clear" w:color="auto" w:fill="auto"/>
            <w:vAlign w:val="center"/>
            <w:hideMark/>
          </w:tcPr>
          <w:p w:rsidR="00DD6090" w:rsidRPr="00105A6C" w:rsidRDefault="00DD6090" w:rsidP="00BB1DA9">
            <w:pPr>
              <w:ind w:left="-108" w:right="-41"/>
              <w:jc w:val="right"/>
              <w:rPr>
                <w:b/>
                <w:color w:val="000000"/>
                <w:sz w:val="16"/>
                <w:szCs w:val="16"/>
                <w:lang w:val="en-PH"/>
              </w:rPr>
            </w:pPr>
            <w:r w:rsidRPr="00105A6C">
              <w:rPr>
                <w:b/>
                <w:color w:val="000000"/>
                <w:sz w:val="16"/>
                <w:szCs w:val="16"/>
                <w:lang w:val="en-PH"/>
              </w:rPr>
              <w:t>7,612,331.28</w:t>
            </w:r>
          </w:p>
        </w:tc>
        <w:tc>
          <w:tcPr>
            <w:tcW w:w="1138" w:type="dxa"/>
            <w:shd w:val="clear" w:color="auto" w:fill="auto"/>
            <w:vAlign w:val="center"/>
            <w:hideMark/>
          </w:tcPr>
          <w:p w:rsidR="00DD6090" w:rsidRPr="00105A6C" w:rsidRDefault="00DD6090" w:rsidP="00BB1DA9">
            <w:pPr>
              <w:ind w:left="-113"/>
              <w:jc w:val="right"/>
              <w:rPr>
                <w:b/>
                <w:color w:val="000000"/>
                <w:sz w:val="16"/>
                <w:szCs w:val="16"/>
                <w:lang w:val="en-PH"/>
              </w:rPr>
            </w:pPr>
            <w:r w:rsidRPr="00105A6C">
              <w:rPr>
                <w:b/>
                <w:color w:val="000000"/>
                <w:sz w:val="16"/>
                <w:szCs w:val="16"/>
                <w:lang w:val="en-PH"/>
              </w:rPr>
              <w:t> 101,418.60</w:t>
            </w:r>
          </w:p>
        </w:tc>
        <w:tc>
          <w:tcPr>
            <w:tcW w:w="1276" w:type="dxa"/>
            <w:shd w:val="clear" w:color="auto" w:fill="auto"/>
            <w:vAlign w:val="center"/>
            <w:hideMark/>
          </w:tcPr>
          <w:p w:rsidR="00DD6090" w:rsidRPr="00105A6C" w:rsidRDefault="00DD6090" w:rsidP="005C62B9">
            <w:pPr>
              <w:ind w:hanging="18"/>
              <w:jc w:val="right"/>
              <w:rPr>
                <w:color w:val="000000"/>
                <w:sz w:val="16"/>
                <w:szCs w:val="16"/>
                <w:lang w:val="en-PH"/>
              </w:rPr>
            </w:pPr>
            <w:r w:rsidRPr="00105A6C">
              <w:rPr>
                <w:color w:val="000000"/>
                <w:sz w:val="16"/>
                <w:szCs w:val="16"/>
                <w:lang w:val="en-PH"/>
              </w:rPr>
              <w:t> </w:t>
            </w:r>
            <w:r w:rsidRPr="00105A6C">
              <w:rPr>
                <w:b/>
                <w:color w:val="000000"/>
                <w:sz w:val="16"/>
                <w:szCs w:val="16"/>
                <w:lang w:val="en-PH"/>
              </w:rPr>
              <w:t>24,117,765.20</w:t>
            </w:r>
          </w:p>
        </w:tc>
        <w:tc>
          <w:tcPr>
            <w:tcW w:w="1159" w:type="dxa"/>
            <w:shd w:val="clear" w:color="auto" w:fill="auto"/>
            <w:vAlign w:val="center"/>
            <w:hideMark/>
          </w:tcPr>
          <w:p w:rsidR="00DD6090" w:rsidRPr="00105A6C" w:rsidRDefault="00DD6090" w:rsidP="00BB1DA9">
            <w:pPr>
              <w:ind w:left="-108"/>
              <w:jc w:val="right"/>
              <w:rPr>
                <w:color w:val="000000"/>
                <w:sz w:val="16"/>
                <w:szCs w:val="16"/>
                <w:lang w:val="en-PH"/>
              </w:rPr>
            </w:pPr>
            <w:r w:rsidRPr="00105A6C">
              <w:rPr>
                <w:b/>
                <w:color w:val="000000"/>
                <w:sz w:val="16"/>
                <w:szCs w:val="16"/>
                <w:lang w:val="en-PH"/>
              </w:rPr>
              <w:t>40,408,421.42 </w:t>
            </w:r>
          </w:p>
        </w:tc>
        <w:tc>
          <w:tcPr>
            <w:tcW w:w="1251" w:type="dxa"/>
            <w:shd w:val="clear" w:color="auto" w:fill="auto"/>
            <w:vAlign w:val="center"/>
            <w:hideMark/>
          </w:tcPr>
          <w:p w:rsidR="00DD6090" w:rsidRPr="00105A6C" w:rsidRDefault="00DD6090" w:rsidP="00BB1DA9">
            <w:pPr>
              <w:ind w:left="-133"/>
              <w:jc w:val="right"/>
              <w:rPr>
                <w:b/>
                <w:color w:val="000000"/>
                <w:sz w:val="16"/>
                <w:szCs w:val="16"/>
                <w:lang w:val="en-PH"/>
              </w:rPr>
            </w:pPr>
            <w:r w:rsidRPr="00105A6C">
              <w:rPr>
                <w:color w:val="000000"/>
                <w:sz w:val="16"/>
                <w:szCs w:val="16"/>
                <w:lang w:val="en-PH"/>
              </w:rPr>
              <w:t> </w:t>
            </w:r>
            <w:r w:rsidRPr="00105A6C">
              <w:rPr>
                <w:b/>
                <w:color w:val="000000"/>
                <w:sz w:val="16"/>
                <w:szCs w:val="16"/>
                <w:lang w:val="en-PH"/>
              </w:rPr>
              <w:t>327,239,936.50</w:t>
            </w:r>
          </w:p>
        </w:tc>
      </w:tr>
      <w:tr w:rsidR="00792C8F" w:rsidRPr="00105A6C" w:rsidTr="00BB1DA9">
        <w:trPr>
          <w:trHeight w:val="125"/>
          <w:jc w:val="center"/>
        </w:trPr>
        <w:tc>
          <w:tcPr>
            <w:tcW w:w="1564" w:type="dxa"/>
            <w:shd w:val="clear" w:color="auto" w:fill="auto"/>
            <w:noWrap/>
            <w:vAlign w:val="center"/>
            <w:hideMark/>
          </w:tcPr>
          <w:p w:rsidR="00701C55" w:rsidRPr="00105A6C" w:rsidRDefault="00E55775" w:rsidP="001F6AA8">
            <w:pPr>
              <w:ind w:left="-4" w:hanging="4"/>
              <w:rPr>
                <w:color w:val="000000"/>
                <w:sz w:val="16"/>
                <w:szCs w:val="16"/>
                <w:lang w:val="en-PH"/>
              </w:rPr>
            </w:pPr>
            <w:r>
              <w:rPr>
                <w:b/>
                <w:bCs/>
                <w:i/>
                <w:iCs/>
                <w:color w:val="000000"/>
                <w:sz w:val="16"/>
                <w:szCs w:val="16"/>
                <w:lang w:val="en-PH"/>
              </w:rPr>
              <w:t xml:space="preserve">Gross Cost, </w:t>
            </w:r>
            <w:r w:rsidR="00701C55" w:rsidRPr="00105A6C">
              <w:rPr>
                <w:b/>
                <w:bCs/>
                <w:i/>
                <w:iCs/>
                <w:color w:val="000000"/>
                <w:sz w:val="16"/>
                <w:szCs w:val="16"/>
                <w:lang w:val="en-PH"/>
              </w:rPr>
              <w:t>12/31/16</w:t>
            </w:r>
          </w:p>
        </w:tc>
        <w:tc>
          <w:tcPr>
            <w:tcW w:w="1276" w:type="dxa"/>
            <w:shd w:val="clear" w:color="auto" w:fill="auto"/>
            <w:noWrap/>
            <w:vAlign w:val="center"/>
            <w:hideMark/>
          </w:tcPr>
          <w:p w:rsidR="00701C55" w:rsidRPr="00105A6C" w:rsidRDefault="005C62B9" w:rsidP="00BB1DA9">
            <w:pPr>
              <w:ind w:left="-108"/>
              <w:jc w:val="right"/>
              <w:rPr>
                <w:color w:val="000000"/>
                <w:sz w:val="16"/>
                <w:szCs w:val="16"/>
                <w:lang w:val="en-PH"/>
              </w:rPr>
            </w:pPr>
            <w:r>
              <w:rPr>
                <w:b/>
                <w:color w:val="000000"/>
                <w:sz w:val="16"/>
                <w:szCs w:val="16"/>
                <w:lang w:val="en-PH"/>
              </w:rPr>
              <w:t>255,000,000.0</w:t>
            </w:r>
            <w:r w:rsidR="00701C55" w:rsidRPr="00105A6C">
              <w:rPr>
                <w:b/>
                <w:color w:val="000000"/>
                <w:sz w:val="16"/>
                <w:szCs w:val="16"/>
                <w:lang w:val="en-PH"/>
              </w:rPr>
              <w:t> </w:t>
            </w:r>
          </w:p>
        </w:tc>
        <w:tc>
          <w:tcPr>
            <w:tcW w:w="1134" w:type="dxa"/>
            <w:shd w:val="clear" w:color="auto" w:fill="auto"/>
            <w:noWrap/>
            <w:vAlign w:val="center"/>
            <w:hideMark/>
          </w:tcPr>
          <w:p w:rsidR="00701C55" w:rsidRPr="00105A6C" w:rsidRDefault="00701C55" w:rsidP="00BB1DA9">
            <w:pPr>
              <w:ind w:left="-108" w:right="-41"/>
              <w:jc w:val="right"/>
              <w:rPr>
                <w:b/>
                <w:color w:val="000000"/>
                <w:sz w:val="16"/>
                <w:szCs w:val="16"/>
                <w:lang w:val="en-PH"/>
              </w:rPr>
            </w:pPr>
            <w:r w:rsidRPr="00105A6C">
              <w:rPr>
                <w:b/>
                <w:color w:val="000000"/>
                <w:sz w:val="16"/>
                <w:szCs w:val="16"/>
                <w:lang w:val="en-PH"/>
              </w:rPr>
              <w:t>10,032,230.38</w:t>
            </w:r>
          </w:p>
        </w:tc>
        <w:tc>
          <w:tcPr>
            <w:tcW w:w="1138" w:type="dxa"/>
            <w:shd w:val="clear" w:color="auto" w:fill="auto"/>
            <w:noWrap/>
            <w:vAlign w:val="center"/>
            <w:hideMark/>
          </w:tcPr>
          <w:p w:rsidR="00701C55" w:rsidRPr="00105A6C" w:rsidRDefault="00701C55" w:rsidP="00BB1DA9">
            <w:pPr>
              <w:ind w:left="-113"/>
              <w:jc w:val="right"/>
              <w:rPr>
                <w:b/>
                <w:color w:val="000000"/>
                <w:sz w:val="16"/>
                <w:szCs w:val="16"/>
                <w:lang w:val="en-PH"/>
              </w:rPr>
            </w:pPr>
            <w:r w:rsidRPr="00105A6C">
              <w:rPr>
                <w:b/>
                <w:color w:val="000000"/>
                <w:sz w:val="16"/>
                <w:szCs w:val="16"/>
                <w:lang w:val="en-PH"/>
              </w:rPr>
              <w:t>1,014,186.00</w:t>
            </w:r>
          </w:p>
        </w:tc>
        <w:tc>
          <w:tcPr>
            <w:tcW w:w="1276" w:type="dxa"/>
            <w:shd w:val="clear" w:color="auto" w:fill="auto"/>
            <w:noWrap/>
            <w:vAlign w:val="center"/>
            <w:hideMark/>
          </w:tcPr>
          <w:p w:rsidR="00701C55" w:rsidRPr="00105A6C" w:rsidRDefault="00701C55" w:rsidP="005C62B9">
            <w:pPr>
              <w:ind w:hanging="18"/>
              <w:jc w:val="right"/>
              <w:rPr>
                <w:b/>
                <w:color w:val="000000"/>
                <w:sz w:val="16"/>
                <w:szCs w:val="16"/>
                <w:lang w:val="en-PH"/>
              </w:rPr>
            </w:pPr>
            <w:r w:rsidRPr="00105A6C">
              <w:rPr>
                <w:b/>
                <w:color w:val="000000"/>
                <w:sz w:val="16"/>
                <w:szCs w:val="16"/>
                <w:lang w:val="en-PH"/>
              </w:rPr>
              <w:t>44,071,832.33</w:t>
            </w:r>
          </w:p>
        </w:tc>
        <w:tc>
          <w:tcPr>
            <w:tcW w:w="1159" w:type="dxa"/>
            <w:shd w:val="clear" w:color="auto" w:fill="auto"/>
            <w:noWrap/>
            <w:vAlign w:val="center"/>
            <w:hideMark/>
          </w:tcPr>
          <w:p w:rsidR="00701C55" w:rsidRPr="00105A6C" w:rsidRDefault="00701C55" w:rsidP="00BB1DA9">
            <w:pPr>
              <w:ind w:left="-108"/>
              <w:jc w:val="right"/>
              <w:rPr>
                <w:b/>
                <w:color w:val="000000"/>
                <w:sz w:val="16"/>
                <w:szCs w:val="16"/>
                <w:lang w:val="en-PH"/>
              </w:rPr>
            </w:pPr>
            <w:r w:rsidRPr="00105A6C">
              <w:rPr>
                <w:b/>
                <w:color w:val="000000"/>
                <w:sz w:val="16"/>
                <w:szCs w:val="16"/>
                <w:lang w:val="en-PH"/>
              </w:rPr>
              <w:t>107,415,154.28</w:t>
            </w:r>
          </w:p>
        </w:tc>
        <w:tc>
          <w:tcPr>
            <w:tcW w:w="1251" w:type="dxa"/>
            <w:shd w:val="clear" w:color="auto" w:fill="auto"/>
            <w:noWrap/>
            <w:vAlign w:val="center"/>
            <w:hideMark/>
          </w:tcPr>
          <w:p w:rsidR="00701C55" w:rsidRPr="00105A6C" w:rsidRDefault="00701C55" w:rsidP="00BB1DA9">
            <w:pPr>
              <w:ind w:left="-133"/>
              <w:jc w:val="right"/>
              <w:rPr>
                <w:b/>
                <w:color w:val="000000"/>
                <w:sz w:val="16"/>
                <w:szCs w:val="16"/>
                <w:lang w:val="en-PH"/>
              </w:rPr>
            </w:pPr>
            <w:r w:rsidRPr="00105A6C">
              <w:rPr>
                <w:b/>
                <w:color w:val="000000"/>
                <w:sz w:val="16"/>
                <w:szCs w:val="16"/>
                <w:lang w:val="en-PH"/>
              </w:rPr>
              <w:t> 417,533,402.99</w:t>
            </w:r>
          </w:p>
        </w:tc>
      </w:tr>
      <w:tr w:rsidR="00792C8F" w:rsidRPr="00105A6C" w:rsidTr="00BB1DA9">
        <w:trPr>
          <w:trHeight w:val="197"/>
          <w:jc w:val="center"/>
        </w:trPr>
        <w:tc>
          <w:tcPr>
            <w:tcW w:w="1564" w:type="dxa"/>
            <w:shd w:val="clear" w:color="auto" w:fill="auto"/>
            <w:noWrap/>
            <w:vAlign w:val="center"/>
            <w:hideMark/>
          </w:tcPr>
          <w:p w:rsidR="007D60FA" w:rsidRPr="00105A6C" w:rsidRDefault="007D60FA" w:rsidP="001F6AA8">
            <w:pPr>
              <w:ind w:left="-4" w:hanging="4"/>
              <w:rPr>
                <w:color w:val="000000"/>
                <w:sz w:val="16"/>
                <w:szCs w:val="16"/>
                <w:lang w:val="en-PH"/>
              </w:rPr>
            </w:pPr>
            <w:r w:rsidRPr="00105A6C">
              <w:rPr>
                <w:color w:val="000000"/>
                <w:sz w:val="16"/>
                <w:szCs w:val="16"/>
                <w:lang w:val="en-PH"/>
              </w:rPr>
              <w:t xml:space="preserve">Less:    </w:t>
            </w:r>
            <w:r w:rsidRPr="00105A6C">
              <w:rPr>
                <w:i/>
                <w:iCs/>
                <w:color w:val="000000"/>
                <w:sz w:val="16"/>
                <w:szCs w:val="16"/>
                <w:lang w:val="en-PH"/>
              </w:rPr>
              <w:t>Accumulated Depreciation</w:t>
            </w:r>
          </w:p>
        </w:tc>
        <w:tc>
          <w:tcPr>
            <w:tcW w:w="1276" w:type="dxa"/>
            <w:shd w:val="clear" w:color="auto" w:fill="auto"/>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2,419,899.10</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912,767.40</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19,954,067.13</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67,006,732.86 </w:t>
            </w:r>
          </w:p>
        </w:tc>
        <w:tc>
          <w:tcPr>
            <w:tcW w:w="1251" w:type="dxa"/>
            <w:shd w:val="clear" w:color="auto" w:fill="auto"/>
            <w:noWrap/>
            <w:vAlign w:val="center"/>
            <w:hideMark/>
          </w:tcPr>
          <w:p w:rsidR="007D60FA" w:rsidRPr="00105A6C" w:rsidRDefault="007D60FA" w:rsidP="00BB1DA9">
            <w:pPr>
              <w:ind w:left="-133"/>
              <w:jc w:val="right"/>
              <w:rPr>
                <w:color w:val="000000"/>
                <w:sz w:val="16"/>
                <w:szCs w:val="16"/>
                <w:lang w:val="en-PH"/>
              </w:rPr>
            </w:pPr>
            <w:r w:rsidRPr="00105A6C">
              <w:rPr>
                <w:color w:val="000000"/>
                <w:sz w:val="16"/>
                <w:szCs w:val="16"/>
                <w:lang w:val="en-PH"/>
              </w:rPr>
              <w:t>90,293,466.49 </w:t>
            </w:r>
          </w:p>
        </w:tc>
      </w:tr>
      <w:tr w:rsidR="00792C8F" w:rsidRPr="00105A6C" w:rsidTr="00BB1DA9">
        <w:trPr>
          <w:trHeight w:val="170"/>
          <w:jc w:val="center"/>
        </w:trPr>
        <w:tc>
          <w:tcPr>
            <w:tcW w:w="1564" w:type="dxa"/>
            <w:shd w:val="clear" w:color="auto" w:fill="auto"/>
            <w:noWrap/>
            <w:vAlign w:val="center"/>
            <w:hideMark/>
          </w:tcPr>
          <w:p w:rsidR="007D60FA" w:rsidRPr="00105A6C" w:rsidRDefault="007D60FA" w:rsidP="001F6AA8">
            <w:pPr>
              <w:ind w:left="-4"/>
              <w:rPr>
                <w:color w:val="000000"/>
                <w:sz w:val="16"/>
                <w:szCs w:val="16"/>
                <w:lang w:val="en-PH"/>
              </w:rPr>
            </w:pPr>
            <w:r w:rsidRPr="00105A6C">
              <w:rPr>
                <w:i/>
                <w:iCs/>
                <w:color w:val="000000"/>
                <w:sz w:val="16"/>
                <w:szCs w:val="16"/>
                <w:lang w:val="en-PH"/>
              </w:rPr>
              <w:t>Allowance for Impairment</w:t>
            </w:r>
          </w:p>
        </w:tc>
        <w:tc>
          <w:tcPr>
            <w:tcW w:w="1276" w:type="dxa"/>
            <w:shd w:val="clear" w:color="auto" w:fill="auto"/>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134" w:type="dxa"/>
            <w:shd w:val="clear" w:color="auto" w:fill="auto"/>
            <w:noWrap/>
            <w:vAlign w:val="center"/>
            <w:hideMark/>
          </w:tcPr>
          <w:p w:rsidR="007D60FA" w:rsidRPr="00105A6C" w:rsidRDefault="007D60FA" w:rsidP="00BB1DA9">
            <w:pPr>
              <w:ind w:left="-108" w:right="-41"/>
              <w:jc w:val="right"/>
              <w:rPr>
                <w:color w:val="000000"/>
                <w:sz w:val="16"/>
                <w:szCs w:val="16"/>
                <w:lang w:val="en-PH"/>
              </w:rPr>
            </w:pPr>
            <w:r w:rsidRPr="00105A6C">
              <w:rPr>
                <w:color w:val="000000"/>
                <w:sz w:val="16"/>
                <w:szCs w:val="16"/>
                <w:lang w:val="en-PH"/>
              </w:rPr>
              <w:t> -</w:t>
            </w:r>
          </w:p>
        </w:tc>
        <w:tc>
          <w:tcPr>
            <w:tcW w:w="1138" w:type="dxa"/>
            <w:shd w:val="clear" w:color="auto" w:fill="auto"/>
            <w:noWrap/>
            <w:vAlign w:val="center"/>
            <w:hideMark/>
          </w:tcPr>
          <w:p w:rsidR="007D60FA" w:rsidRPr="00105A6C" w:rsidRDefault="007D60FA" w:rsidP="00BB1DA9">
            <w:pPr>
              <w:ind w:left="-113"/>
              <w:jc w:val="right"/>
              <w:rPr>
                <w:color w:val="000000"/>
                <w:sz w:val="16"/>
                <w:szCs w:val="16"/>
                <w:lang w:val="en-PH"/>
              </w:rPr>
            </w:pPr>
            <w:r w:rsidRPr="00105A6C">
              <w:rPr>
                <w:color w:val="000000"/>
                <w:sz w:val="16"/>
                <w:szCs w:val="16"/>
                <w:lang w:val="en-PH"/>
              </w:rPr>
              <w:t>- </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 -</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color w:val="000000"/>
                <w:sz w:val="16"/>
                <w:szCs w:val="16"/>
                <w:lang w:val="en-PH"/>
              </w:rPr>
              <w:t> -</w:t>
            </w:r>
          </w:p>
        </w:tc>
        <w:tc>
          <w:tcPr>
            <w:tcW w:w="1251" w:type="dxa"/>
            <w:shd w:val="clear" w:color="auto" w:fill="auto"/>
            <w:noWrap/>
            <w:vAlign w:val="center"/>
            <w:hideMark/>
          </w:tcPr>
          <w:p w:rsidR="007D60FA" w:rsidRPr="00105A6C" w:rsidRDefault="007D60FA" w:rsidP="00BB1DA9">
            <w:pPr>
              <w:ind w:left="-133"/>
              <w:jc w:val="right"/>
              <w:rPr>
                <w:color w:val="000000"/>
                <w:sz w:val="16"/>
                <w:szCs w:val="16"/>
                <w:lang w:val="en-PH"/>
              </w:rPr>
            </w:pPr>
            <w:r w:rsidRPr="00105A6C">
              <w:rPr>
                <w:color w:val="000000"/>
                <w:sz w:val="16"/>
                <w:szCs w:val="16"/>
                <w:lang w:val="en-PH"/>
              </w:rPr>
              <w:t>- </w:t>
            </w:r>
          </w:p>
        </w:tc>
      </w:tr>
      <w:tr w:rsidR="00C672D5" w:rsidRPr="00105A6C" w:rsidTr="00BB1DA9">
        <w:trPr>
          <w:trHeight w:val="288"/>
          <w:jc w:val="center"/>
        </w:trPr>
        <w:tc>
          <w:tcPr>
            <w:tcW w:w="1564" w:type="dxa"/>
            <w:shd w:val="clear" w:color="auto" w:fill="auto"/>
            <w:noWrap/>
            <w:vAlign w:val="center"/>
            <w:hideMark/>
          </w:tcPr>
          <w:p w:rsidR="007D60FA" w:rsidRPr="00105A6C" w:rsidRDefault="00E55775" w:rsidP="001F6AA8">
            <w:pPr>
              <w:ind w:left="-4" w:hanging="4"/>
              <w:rPr>
                <w:b/>
                <w:bCs/>
                <w:color w:val="000000"/>
                <w:sz w:val="16"/>
                <w:szCs w:val="16"/>
                <w:lang w:val="en-PH"/>
              </w:rPr>
            </w:pPr>
            <w:r>
              <w:rPr>
                <w:b/>
                <w:bCs/>
                <w:color w:val="000000"/>
                <w:sz w:val="16"/>
                <w:szCs w:val="16"/>
                <w:lang w:val="en-PH"/>
              </w:rPr>
              <w:t xml:space="preserve">Carrying Amount, </w:t>
            </w:r>
            <w:r w:rsidR="007D60FA" w:rsidRPr="00105A6C">
              <w:rPr>
                <w:b/>
                <w:bCs/>
                <w:color w:val="000000"/>
                <w:sz w:val="16"/>
                <w:szCs w:val="16"/>
                <w:lang w:val="en-PH"/>
              </w:rPr>
              <w:t>12/31/2016</w:t>
            </w:r>
          </w:p>
        </w:tc>
        <w:tc>
          <w:tcPr>
            <w:tcW w:w="1276" w:type="dxa"/>
            <w:shd w:val="clear" w:color="auto" w:fill="auto"/>
            <w:noWrap/>
            <w:vAlign w:val="center"/>
            <w:hideMark/>
          </w:tcPr>
          <w:p w:rsidR="007D60FA" w:rsidRPr="00105A6C" w:rsidRDefault="007D60FA" w:rsidP="00BB1DA9">
            <w:pPr>
              <w:ind w:left="-108"/>
              <w:jc w:val="right"/>
              <w:rPr>
                <w:b/>
                <w:color w:val="000000"/>
                <w:sz w:val="16"/>
                <w:szCs w:val="16"/>
                <w:lang w:val="en-PH"/>
              </w:rPr>
            </w:pPr>
            <w:r w:rsidRPr="00105A6C">
              <w:rPr>
                <w:b/>
                <w:color w:val="000000"/>
                <w:sz w:val="16"/>
                <w:szCs w:val="16"/>
                <w:lang w:val="en-PH"/>
              </w:rPr>
              <w:t>255,000,000.00</w:t>
            </w:r>
          </w:p>
        </w:tc>
        <w:tc>
          <w:tcPr>
            <w:tcW w:w="1134" w:type="dxa"/>
            <w:shd w:val="clear" w:color="auto" w:fill="auto"/>
            <w:noWrap/>
            <w:vAlign w:val="center"/>
            <w:hideMark/>
          </w:tcPr>
          <w:p w:rsidR="007D60FA" w:rsidRPr="00105A6C" w:rsidRDefault="007D60FA" w:rsidP="00BB1DA9">
            <w:pPr>
              <w:ind w:left="-108" w:right="-41"/>
              <w:jc w:val="right"/>
              <w:rPr>
                <w:b/>
                <w:color w:val="000000"/>
                <w:sz w:val="16"/>
                <w:szCs w:val="16"/>
                <w:lang w:val="en-PH"/>
              </w:rPr>
            </w:pPr>
            <w:r w:rsidRPr="00105A6C">
              <w:rPr>
                <w:b/>
                <w:color w:val="000000"/>
                <w:sz w:val="16"/>
                <w:szCs w:val="16"/>
                <w:lang w:val="en-PH"/>
              </w:rPr>
              <w:t>7,612,331.28</w:t>
            </w:r>
          </w:p>
        </w:tc>
        <w:tc>
          <w:tcPr>
            <w:tcW w:w="1138" w:type="dxa"/>
            <w:shd w:val="clear" w:color="auto" w:fill="auto"/>
            <w:noWrap/>
            <w:vAlign w:val="center"/>
            <w:hideMark/>
          </w:tcPr>
          <w:p w:rsidR="007D60FA" w:rsidRPr="00105A6C" w:rsidRDefault="007D60FA" w:rsidP="00BB1DA9">
            <w:pPr>
              <w:ind w:left="-113"/>
              <w:jc w:val="right"/>
              <w:rPr>
                <w:b/>
                <w:color w:val="000000"/>
                <w:sz w:val="16"/>
                <w:szCs w:val="16"/>
                <w:lang w:val="en-PH"/>
              </w:rPr>
            </w:pPr>
            <w:r w:rsidRPr="00105A6C">
              <w:rPr>
                <w:b/>
                <w:color w:val="000000"/>
                <w:sz w:val="16"/>
                <w:szCs w:val="16"/>
                <w:lang w:val="en-PH"/>
              </w:rPr>
              <w:t> 101,418.60</w:t>
            </w:r>
          </w:p>
        </w:tc>
        <w:tc>
          <w:tcPr>
            <w:tcW w:w="1276" w:type="dxa"/>
            <w:shd w:val="clear" w:color="auto" w:fill="auto"/>
            <w:noWrap/>
            <w:vAlign w:val="center"/>
            <w:hideMark/>
          </w:tcPr>
          <w:p w:rsidR="007D60FA" w:rsidRPr="00105A6C" w:rsidRDefault="007D60FA" w:rsidP="005C62B9">
            <w:pPr>
              <w:ind w:hanging="18"/>
              <w:jc w:val="right"/>
              <w:rPr>
                <w:color w:val="000000"/>
                <w:sz w:val="16"/>
                <w:szCs w:val="16"/>
                <w:lang w:val="en-PH"/>
              </w:rPr>
            </w:pPr>
            <w:r w:rsidRPr="00105A6C">
              <w:rPr>
                <w:color w:val="000000"/>
                <w:sz w:val="16"/>
                <w:szCs w:val="16"/>
                <w:lang w:val="en-PH"/>
              </w:rPr>
              <w:t> </w:t>
            </w:r>
            <w:r w:rsidRPr="00105A6C">
              <w:rPr>
                <w:b/>
                <w:color w:val="000000"/>
                <w:sz w:val="16"/>
                <w:szCs w:val="16"/>
                <w:lang w:val="en-PH"/>
              </w:rPr>
              <w:t>24,117,765.20</w:t>
            </w:r>
          </w:p>
        </w:tc>
        <w:tc>
          <w:tcPr>
            <w:tcW w:w="1159" w:type="dxa"/>
            <w:shd w:val="clear" w:color="auto" w:fill="auto"/>
            <w:noWrap/>
            <w:vAlign w:val="center"/>
            <w:hideMark/>
          </w:tcPr>
          <w:p w:rsidR="007D60FA" w:rsidRPr="00105A6C" w:rsidRDefault="007D60FA" w:rsidP="00BB1DA9">
            <w:pPr>
              <w:ind w:left="-108"/>
              <w:jc w:val="right"/>
              <w:rPr>
                <w:color w:val="000000"/>
                <w:sz w:val="16"/>
                <w:szCs w:val="16"/>
                <w:lang w:val="en-PH"/>
              </w:rPr>
            </w:pPr>
            <w:r w:rsidRPr="00105A6C">
              <w:rPr>
                <w:b/>
                <w:color w:val="000000"/>
                <w:sz w:val="16"/>
                <w:szCs w:val="16"/>
                <w:lang w:val="en-PH"/>
              </w:rPr>
              <w:t>40,408,421.42 </w:t>
            </w:r>
          </w:p>
        </w:tc>
        <w:tc>
          <w:tcPr>
            <w:tcW w:w="1251" w:type="dxa"/>
            <w:shd w:val="clear" w:color="auto" w:fill="auto"/>
            <w:noWrap/>
            <w:vAlign w:val="center"/>
            <w:hideMark/>
          </w:tcPr>
          <w:p w:rsidR="007D60FA" w:rsidRPr="00105A6C" w:rsidRDefault="007D60FA" w:rsidP="00BB1DA9">
            <w:pPr>
              <w:ind w:left="-133"/>
              <w:jc w:val="right"/>
              <w:rPr>
                <w:b/>
                <w:color w:val="000000"/>
                <w:sz w:val="16"/>
                <w:szCs w:val="16"/>
                <w:lang w:val="en-PH"/>
              </w:rPr>
            </w:pPr>
            <w:r w:rsidRPr="00105A6C">
              <w:rPr>
                <w:color w:val="000000"/>
                <w:sz w:val="16"/>
                <w:szCs w:val="16"/>
                <w:lang w:val="en-PH"/>
              </w:rPr>
              <w:t> </w:t>
            </w:r>
            <w:r w:rsidRPr="00105A6C">
              <w:rPr>
                <w:b/>
                <w:color w:val="000000"/>
                <w:sz w:val="16"/>
                <w:szCs w:val="16"/>
                <w:lang w:val="en-PH"/>
              </w:rPr>
              <w:t>327,239,936.50</w:t>
            </w:r>
          </w:p>
        </w:tc>
      </w:tr>
    </w:tbl>
    <w:p w:rsidR="001F6AA8" w:rsidRDefault="001F6AA8" w:rsidP="008F517D">
      <w:pPr>
        <w:ind w:left="180"/>
        <w:jc w:val="both"/>
        <w:rPr>
          <w:sz w:val="24"/>
        </w:rPr>
      </w:pPr>
    </w:p>
    <w:p w:rsidR="00053953" w:rsidRDefault="00053953" w:rsidP="00BB1DA9">
      <w:pPr>
        <w:pStyle w:val="BodyTextIndent"/>
        <w:tabs>
          <w:tab w:val="left" w:pos="8370"/>
        </w:tabs>
        <w:ind w:left="426" w:firstLine="0"/>
      </w:pPr>
      <w:r>
        <w:t>Regular maintenance, repair and minor replacements are charged against Maintenance and Other Operating Expenses (MOOE)</w:t>
      </w:r>
      <w:r w:rsidR="005D2F08">
        <w:t>.</w:t>
      </w:r>
    </w:p>
    <w:p w:rsidR="00B807BC" w:rsidRDefault="00B807BC" w:rsidP="008F517D">
      <w:pPr>
        <w:ind w:left="180"/>
        <w:jc w:val="both"/>
        <w:rPr>
          <w:sz w:val="24"/>
        </w:rPr>
      </w:pPr>
    </w:p>
    <w:p w:rsidR="00B807BC" w:rsidRPr="00940833" w:rsidRDefault="00053953" w:rsidP="00BB1DA9">
      <w:pPr>
        <w:pStyle w:val="BodyTextIndent"/>
        <w:tabs>
          <w:tab w:val="left" w:pos="8370"/>
        </w:tabs>
        <w:ind w:left="426" w:firstLine="0"/>
        <w:rPr>
          <w:szCs w:val="24"/>
        </w:rPr>
      </w:pPr>
      <w:r>
        <w:t xml:space="preserve">There was a Contract to </w:t>
      </w:r>
      <w:proofErr w:type="gramStart"/>
      <w:r>
        <w:t>Sell</w:t>
      </w:r>
      <w:proofErr w:type="gramEnd"/>
      <w:r>
        <w:t xml:space="preserve"> a portion of </w:t>
      </w:r>
      <w:proofErr w:type="spellStart"/>
      <w:r>
        <w:t>Villamor</w:t>
      </w:r>
      <w:proofErr w:type="spellEnd"/>
      <w:r>
        <w:t xml:space="preserve"> Air Base property with a total land area of 17,454 square meters for a contract price of </w:t>
      </w:r>
      <w:r w:rsidR="002A5D9E" w:rsidRPr="002A5D9E">
        <w:t>₱</w:t>
      </w:r>
      <w:r>
        <w:t xml:space="preserve">95,997,000.00 which was made </w:t>
      </w:r>
      <w:r w:rsidRPr="00940833">
        <w:rPr>
          <w:szCs w:val="24"/>
        </w:rPr>
        <w:t xml:space="preserve">and executed by and between BCDA and </w:t>
      </w:r>
      <w:proofErr w:type="spellStart"/>
      <w:r w:rsidRPr="00940833">
        <w:rPr>
          <w:szCs w:val="24"/>
        </w:rPr>
        <w:t>PhilSCA</w:t>
      </w:r>
      <w:proofErr w:type="spellEnd"/>
      <w:r w:rsidRPr="00940833">
        <w:rPr>
          <w:szCs w:val="24"/>
        </w:rPr>
        <w:t xml:space="preserve"> on September 7, 1999. On July 8, 2001, a Deed of Absolute Sale was again executed by and between BCDA eventually after the full payment thereof. On May 31, 2010, the </w:t>
      </w:r>
      <w:proofErr w:type="spellStart"/>
      <w:r w:rsidRPr="00940833">
        <w:rPr>
          <w:szCs w:val="24"/>
        </w:rPr>
        <w:t>PhilSCA</w:t>
      </w:r>
      <w:proofErr w:type="spellEnd"/>
      <w:r w:rsidRPr="00940833">
        <w:rPr>
          <w:szCs w:val="24"/>
        </w:rPr>
        <w:t xml:space="preserve"> Board of Trustees passed and approved Board Resolution No. 35, series </w:t>
      </w:r>
      <w:r w:rsidR="008F517D" w:rsidRPr="00940833">
        <w:rPr>
          <w:szCs w:val="24"/>
        </w:rPr>
        <w:t xml:space="preserve">of </w:t>
      </w:r>
      <w:r w:rsidRPr="00940833">
        <w:rPr>
          <w:szCs w:val="24"/>
        </w:rPr>
        <w:t xml:space="preserve">2010 </w:t>
      </w:r>
      <w:r w:rsidR="004C0239" w:rsidRPr="00AF13AC">
        <w:rPr>
          <w:szCs w:val="24"/>
        </w:rPr>
        <w:t>on</w:t>
      </w:r>
      <w:r w:rsidRPr="00940833">
        <w:rPr>
          <w:szCs w:val="24"/>
        </w:rPr>
        <w:t xml:space="preserve"> the transfer of the campus of </w:t>
      </w:r>
      <w:proofErr w:type="spellStart"/>
      <w:r w:rsidRPr="00940833">
        <w:rPr>
          <w:szCs w:val="24"/>
        </w:rPr>
        <w:t>PhilSCA</w:t>
      </w:r>
      <w:proofErr w:type="spellEnd"/>
      <w:r w:rsidR="00536FFE">
        <w:rPr>
          <w:szCs w:val="24"/>
        </w:rPr>
        <w:t xml:space="preserve"> </w:t>
      </w:r>
      <w:proofErr w:type="spellStart"/>
      <w:r w:rsidRPr="00940833">
        <w:rPr>
          <w:szCs w:val="24"/>
        </w:rPr>
        <w:t>Villamor</w:t>
      </w:r>
      <w:proofErr w:type="spellEnd"/>
      <w:r w:rsidRPr="00940833">
        <w:rPr>
          <w:szCs w:val="24"/>
        </w:rPr>
        <w:t xml:space="preserve"> Air Base to the relocation site provided by BCDA at the </w:t>
      </w:r>
      <w:proofErr w:type="spellStart"/>
      <w:r w:rsidRPr="00940833">
        <w:rPr>
          <w:szCs w:val="24"/>
        </w:rPr>
        <w:t>Piccio</w:t>
      </w:r>
      <w:proofErr w:type="spellEnd"/>
      <w:r w:rsidRPr="00940833">
        <w:rPr>
          <w:szCs w:val="24"/>
        </w:rPr>
        <w:t xml:space="preserve"> Garden, </w:t>
      </w:r>
      <w:proofErr w:type="spellStart"/>
      <w:r w:rsidRPr="00940833">
        <w:rPr>
          <w:szCs w:val="24"/>
        </w:rPr>
        <w:t>Villamor</w:t>
      </w:r>
      <w:proofErr w:type="spellEnd"/>
      <w:r w:rsidRPr="00940833">
        <w:rPr>
          <w:szCs w:val="24"/>
        </w:rPr>
        <w:t xml:space="preserve"> Air Base, </w:t>
      </w:r>
      <w:proofErr w:type="gramStart"/>
      <w:r w:rsidRPr="00940833">
        <w:rPr>
          <w:szCs w:val="24"/>
        </w:rPr>
        <w:t>Pasay</w:t>
      </w:r>
      <w:proofErr w:type="gramEnd"/>
      <w:r w:rsidRPr="00940833">
        <w:rPr>
          <w:szCs w:val="24"/>
        </w:rPr>
        <w:t xml:space="preserve"> City. </w:t>
      </w:r>
    </w:p>
    <w:p w:rsidR="00940833" w:rsidRPr="00940833" w:rsidRDefault="00940833" w:rsidP="00940833">
      <w:pPr>
        <w:pStyle w:val="BodyTextIndent"/>
        <w:tabs>
          <w:tab w:val="left" w:pos="8370"/>
        </w:tabs>
        <w:ind w:firstLine="0"/>
        <w:rPr>
          <w:szCs w:val="24"/>
        </w:rPr>
      </w:pPr>
    </w:p>
    <w:p w:rsidR="00053953" w:rsidRPr="00940833" w:rsidRDefault="00053953" w:rsidP="00BB1DA9">
      <w:pPr>
        <w:pStyle w:val="BodyTextIndent"/>
        <w:tabs>
          <w:tab w:val="left" w:pos="8370"/>
        </w:tabs>
        <w:ind w:left="426" w:firstLine="0"/>
        <w:rPr>
          <w:szCs w:val="24"/>
        </w:rPr>
      </w:pPr>
      <w:r w:rsidRPr="00940833">
        <w:rPr>
          <w:szCs w:val="24"/>
        </w:rPr>
        <w:t>On June 10, 2010, a Memorandum of Agreement (MOA) was executed and entered into by</w:t>
      </w:r>
      <w:r w:rsidR="004C0239">
        <w:rPr>
          <w:szCs w:val="24"/>
        </w:rPr>
        <w:t xml:space="preserve"> </w:t>
      </w:r>
      <w:r w:rsidR="004C0239" w:rsidRPr="00AF13AC">
        <w:rPr>
          <w:szCs w:val="24"/>
        </w:rPr>
        <w:t>and between</w:t>
      </w:r>
      <w:r w:rsidR="004C0239">
        <w:rPr>
          <w:szCs w:val="24"/>
        </w:rPr>
        <w:t xml:space="preserve"> </w:t>
      </w:r>
      <w:r w:rsidRPr="00940833">
        <w:rPr>
          <w:szCs w:val="24"/>
        </w:rPr>
        <w:t xml:space="preserve">the </w:t>
      </w:r>
      <w:proofErr w:type="spellStart"/>
      <w:r w:rsidRPr="00940833">
        <w:rPr>
          <w:szCs w:val="24"/>
        </w:rPr>
        <w:t>PhilSCA</w:t>
      </w:r>
      <w:proofErr w:type="spellEnd"/>
      <w:r w:rsidRPr="00940833">
        <w:rPr>
          <w:szCs w:val="24"/>
        </w:rPr>
        <w:t xml:space="preserve">, BCDA and </w:t>
      </w:r>
      <w:proofErr w:type="spellStart"/>
      <w:r w:rsidRPr="00940833">
        <w:rPr>
          <w:szCs w:val="24"/>
        </w:rPr>
        <w:t>Megaworld</w:t>
      </w:r>
      <w:proofErr w:type="spellEnd"/>
      <w:r w:rsidRPr="00940833">
        <w:rPr>
          <w:szCs w:val="24"/>
        </w:rPr>
        <w:t xml:space="preserve"> Corporation whereby </w:t>
      </w:r>
      <w:proofErr w:type="spellStart"/>
      <w:r w:rsidRPr="00940833">
        <w:rPr>
          <w:szCs w:val="24"/>
        </w:rPr>
        <w:t>PhilSCA</w:t>
      </w:r>
      <w:proofErr w:type="spellEnd"/>
      <w:r w:rsidRPr="00940833">
        <w:rPr>
          <w:szCs w:val="24"/>
        </w:rPr>
        <w:t xml:space="preserve"> agreed to transfer from the </w:t>
      </w:r>
      <w:proofErr w:type="spellStart"/>
      <w:r w:rsidRPr="00940833">
        <w:rPr>
          <w:szCs w:val="24"/>
        </w:rPr>
        <w:t>PhilSCA</w:t>
      </w:r>
      <w:proofErr w:type="spellEnd"/>
      <w:r w:rsidR="00536FFE">
        <w:rPr>
          <w:szCs w:val="24"/>
        </w:rPr>
        <w:t xml:space="preserve"> </w:t>
      </w:r>
      <w:proofErr w:type="spellStart"/>
      <w:r w:rsidRPr="00940833">
        <w:rPr>
          <w:szCs w:val="24"/>
        </w:rPr>
        <w:t>Villamor</w:t>
      </w:r>
      <w:proofErr w:type="spellEnd"/>
      <w:r w:rsidRPr="00940833">
        <w:rPr>
          <w:szCs w:val="24"/>
        </w:rPr>
        <w:t xml:space="preserve"> Air Base Pasay Campus to the new </w:t>
      </w:r>
      <w:proofErr w:type="spellStart"/>
      <w:r w:rsidRPr="00940833">
        <w:rPr>
          <w:szCs w:val="24"/>
        </w:rPr>
        <w:t>PhilSCA</w:t>
      </w:r>
      <w:proofErr w:type="spellEnd"/>
      <w:r w:rsidRPr="00940833">
        <w:rPr>
          <w:szCs w:val="24"/>
        </w:rPr>
        <w:t xml:space="preserve"> relocation site. </w:t>
      </w:r>
    </w:p>
    <w:p w:rsidR="00B807BC" w:rsidRPr="00940833" w:rsidRDefault="00B807BC" w:rsidP="008F517D">
      <w:pPr>
        <w:ind w:left="180"/>
        <w:jc w:val="both"/>
        <w:rPr>
          <w:sz w:val="24"/>
          <w:szCs w:val="24"/>
        </w:rPr>
      </w:pPr>
    </w:p>
    <w:p w:rsidR="00053953" w:rsidRDefault="00167522" w:rsidP="00BB1DA9">
      <w:pPr>
        <w:pStyle w:val="BodyTextIndent"/>
        <w:tabs>
          <w:tab w:val="left" w:pos="8370"/>
        </w:tabs>
        <w:ind w:left="426" w:firstLine="0"/>
      </w:pPr>
      <w:r w:rsidRPr="00940833">
        <w:rPr>
          <w:szCs w:val="24"/>
        </w:rPr>
        <w:t>In</w:t>
      </w:r>
      <w:r w:rsidR="00053953" w:rsidRPr="00940833">
        <w:rPr>
          <w:szCs w:val="24"/>
        </w:rPr>
        <w:t xml:space="preserve"> November 2010, the College transferred from its original location at </w:t>
      </w:r>
      <w:proofErr w:type="spellStart"/>
      <w:r w:rsidR="00053953" w:rsidRPr="00940833">
        <w:rPr>
          <w:szCs w:val="24"/>
        </w:rPr>
        <w:t>Manlunas</w:t>
      </w:r>
      <w:proofErr w:type="spellEnd"/>
      <w:r w:rsidR="00053953" w:rsidRPr="00940833">
        <w:rPr>
          <w:szCs w:val="24"/>
        </w:rPr>
        <w:t xml:space="preserve"> St., </w:t>
      </w:r>
      <w:proofErr w:type="spellStart"/>
      <w:r w:rsidR="00053953" w:rsidRPr="00940833">
        <w:rPr>
          <w:szCs w:val="24"/>
        </w:rPr>
        <w:t>Villamor</w:t>
      </w:r>
      <w:proofErr w:type="spellEnd"/>
      <w:r w:rsidR="00053953" w:rsidRPr="00940833">
        <w:rPr>
          <w:szCs w:val="24"/>
        </w:rPr>
        <w:t xml:space="preserve"> Air Base, Pasay City (currently Newport City) to the new site at </w:t>
      </w:r>
      <w:proofErr w:type="spellStart"/>
      <w:r w:rsidR="00053953">
        <w:t>Piccio</w:t>
      </w:r>
      <w:proofErr w:type="spellEnd"/>
      <w:r w:rsidR="00053953">
        <w:t xml:space="preserve"> Garden, </w:t>
      </w:r>
      <w:proofErr w:type="spellStart"/>
      <w:r w:rsidR="00053953">
        <w:t>Villamor</w:t>
      </w:r>
      <w:proofErr w:type="spellEnd"/>
      <w:r w:rsidR="00053953">
        <w:t xml:space="preserve">, </w:t>
      </w:r>
      <w:proofErr w:type="gramStart"/>
      <w:r w:rsidR="00053953">
        <w:t>Pasay</w:t>
      </w:r>
      <w:proofErr w:type="gramEnd"/>
      <w:r w:rsidR="00053953">
        <w:t xml:space="preserve"> City (in front of South Luzon Expressway Sales Exit).</w:t>
      </w:r>
    </w:p>
    <w:p w:rsidR="00BB1DA9" w:rsidRDefault="00BB1DA9">
      <w:pPr>
        <w:rPr>
          <w:sz w:val="24"/>
        </w:rPr>
      </w:pPr>
      <w:r>
        <w:rPr>
          <w:sz w:val="24"/>
        </w:rPr>
        <w:br w:type="page"/>
      </w:r>
    </w:p>
    <w:p w:rsidR="00053953" w:rsidRDefault="00053953" w:rsidP="00BB1DA9">
      <w:pPr>
        <w:pStyle w:val="BodyTextIndent"/>
        <w:tabs>
          <w:tab w:val="left" w:pos="8370"/>
        </w:tabs>
        <w:ind w:left="426" w:firstLine="0"/>
      </w:pPr>
      <w:r w:rsidRPr="00940833">
        <w:rPr>
          <w:szCs w:val="24"/>
        </w:rPr>
        <w:lastRenderedPageBreak/>
        <w:t>Pursuant</w:t>
      </w:r>
      <w:r>
        <w:t xml:space="preserve"> to the said MOA, the following salient points were undertaken, to wit:</w:t>
      </w:r>
    </w:p>
    <w:p w:rsidR="003A4399" w:rsidRPr="00BA00BA" w:rsidRDefault="003A4399" w:rsidP="003A4399">
      <w:pPr>
        <w:tabs>
          <w:tab w:val="left" w:pos="-5310"/>
        </w:tabs>
        <w:jc w:val="both"/>
        <w:rPr>
          <w:sz w:val="18"/>
          <w:szCs w:val="18"/>
        </w:rPr>
      </w:pPr>
    </w:p>
    <w:p w:rsidR="00053953" w:rsidRDefault="00053953" w:rsidP="00BB1DA9">
      <w:pPr>
        <w:numPr>
          <w:ilvl w:val="0"/>
          <w:numId w:val="12"/>
        </w:numPr>
        <w:tabs>
          <w:tab w:val="left" w:pos="8460"/>
        </w:tabs>
        <w:ind w:left="709" w:hanging="283"/>
        <w:jc w:val="both"/>
        <w:rPr>
          <w:sz w:val="24"/>
        </w:rPr>
      </w:pPr>
      <w:r>
        <w:rPr>
          <w:sz w:val="24"/>
        </w:rPr>
        <w:t xml:space="preserve">BCDA shall provide a relocation site in exchange for the old campus site which was identified to be at </w:t>
      </w:r>
      <w:proofErr w:type="spellStart"/>
      <w:r>
        <w:rPr>
          <w:sz w:val="24"/>
        </w:rPr>
        <w:t>Piccio</w:t>
      </w:r>
      <w:proofErr w:type="spellEnd"/>
      <w:r>
        <w:rPr>
          <w:sz w:val="24"/>
        </w:rPr>
        <w:t xml:space="preserve"> Garden, </w:t>
      </w:r>
      <w:proofErr w:type="spellStart"/>
      <w:r>
        <w:rPr>
          <w:sz w:val="24"/>
        </w:rPr>
        <w:t>Villamor</w:t>
      </w:r>
      <w:proofErr w:type="spellEnd"/>
      <w:r>
        <w:rPr>
          <w:sz w:val="24"/>
        </w:rPr>
        <w:t xml:space="preserve"> Air Base, Pasay City, with estimated total lot area of 17,000 square meters.</w:t>
      </w:r>
    </w:p>
    <w:p w:rsidR="003A4399" w:rsidRPr="00BA00BA" w:rsidRDefault="003A4399" w:rsidP="00BB1DA9">
      <w:pPr>
        <w:tabs>
          <w:tab w:val="left" w:pos="1080"/>
          <w:tab w:val="left" w:pos="8460"/>
        </w:tabs>
        <w:ind w:left="709" w:hanging="283"/>
        <w:jc w:val="both"/>
        <w:rPr>
          <w:sz w:val="18"/>
          <w:szCs w:val="18"/>
        </w:rPr>
      </w:pPr>
    </w:p>
    <w:p w:rsidR="00053953" w:rsidRDefault="00053953" w:rsidP="00BB1DA9">
      <w:pPr>
        <w:numPr>
          <w:ilvl w:val="0"/>
          <w:numId w:val="12"/>
        </w:numPr>
        <w:tabs>
          <w:tab w:val="left" w:pos="8460"/>
        </w:tabs>
        <w:ind w:left="709" w:hanging="283"/>
        <w:jc w:val="both"/>
        <w:rPr>
          <w:sz w:val="24"/>
        </w:rPr>
      </w:pPr>
      <w:proofErr w:type="spellStart"/>
      <w:r>
        <w:rPr>
          <w:sz w:val="24"/>
        </w:rPr>
        <w:t>PhilSCA</w:t>
      </w:r>
      <w:proofErr w:type="spellEnd"/>
      <w:r>
        <w:rPr>
          <w:sz w:val="24"/>
        </w:rPr>
        <w:t xml:space="preserve"> shall give up its immovable properties in </w:t>
      </w:r>
      <w:proofErr w:type="spellStart"/>
      <w:r>
        <w:rPr>
          <w:sz w:val="24"/>
        </w:rPr>
        <w:t>Manlunas</w:t>
      </w:r>
      <w:proofErr w:type="spellEnd"/>
      <w:r>
        <w:rPr>
          <w:sz w:val="24"/>
        </w:rPr>
        <w:t xml:space="preserve"> Street, </w:t>
      </w:r>
      <w:proofErr w:type="spellStart"/>
      <w:r>
        <w:rPr>
          <w:sz w:val="24"/>
        </w:rPr>
        <w:t>Villamor</w:t>
      </w:r>
      <w:proofErr w:type="spellEnd"/>
      <w:r>
        <w:rPr>
          <w:sz w:val="24"/>
        </w:rPr>
        <w:t xml:space="preserve"> Air Base, Pasay City, details of which are as follows:</w:t>
      </w:r>
    </w:p>
    <w:p w:rsidR="00053953" w:rsidRPr="00BA00BA" w:rsidRDefault="00053953" w:rsidP="00292E54">
      <w:pPr>
        <w:tabs>
          <w:tab w:val="left" w:pos="810"/>
          <w:tab w:val="left" w:pos="900"/>
          <w:tab w:val="left" w:pos="8460"/>
        </w:tabs>
        <w:ind w:left="720" w:right="630"/>
        <w:jc w:val="both"/>
        <w:rPr>
          <w:sz w:val="18"/>
          <w:szCs w:val="18"/>
        </w:rPr>
      </w:pPr>
      <w:r>
        <w:rPr>
          <w:sz w:val="24"/>
        </w:rPr>
        <w:tab/>
      </w:r>
      <w:r>
        <w:rPr>
          <w:sz w:val="24"/>
        </w:rPr>
        <w:tab/>
      </w:r>
    </w:p>
    <w:p w:rsidR="00053953" w:rsidRPr="000E121A" w:rsidRDefault="00053953" w:rsidP="00B25A1A">
      <w:pPr>
        <w:tabs>
          <w:tab w:val="left" w:pos="810"/>
          <w:tab w:val="left" w:pos="900"/>
        </w:tabs>
        <w:ind w:left="720" w:right="630"/>
        <w:jc w:val="center"/>
        <w:rPr>
          <w:b/>
          <w:sz w:val="24"/>
          <w:u w:val="single"/>
        </w:rPr>
      </w:pPr>
      <w:r w:rsidRPr="000E121A">
        <w:rPr>
          <w:b/>
          <w:sz w:val="24"/>
          <w:u w:val="single"/>
        </w:rPr>
        <w:t>Acquisition Costs</w:t>
      </w:r>
    </w:p>
    <w:p w:rsidR="00053953" w:rsidRPr="00D13F04" w:rsidRDefault="00053953" w:rsidP="00B25A1A">
      <w:pPr>
        <w:tabs>
          <w:tab w:val="left" w:pos="810"/>
          <w:tab w:val="left" w:pos="900"/>
          <w:tab w:val="left" w:pos="8460"/>
        </w:tabs>
        <w:ind w:left="720" w:right="630"/>
        <w:jc w:val="center"/>
        <w:rPr>
          <w:sz w:val="8"/>
        </w:rPr>
      </w:pPr>
    </w:p>
    <w:p w:rsidR="004C0239" w:rsidRDefault="004C0239" w:rsidP="004C0239">
      <w:pPr>
        <w:tabs>
          <w:tab w:val="left" w:pos="810"/>
          <w:tab w:val="left" w:pos="900"/>
          <w:tab w:val="left" w:pos="990"/>
          <w:tab w:val="left" w:pos="2970"/>
          <w:tab w:val="left" w:pos="3060"/>
        </w:tabs>
        <w:rPr>
          <w:sz w:val="24"/>
        </w:rPr>
      </w:pPr>
      <w:r>
        <w:rPr>
          <w:sz w:val="24"/>
        </w:rPr>
        <w:tab/>
      </w:r>
      <w:r>
        <w:rPr>
          <w:sz w:val="24"/>
        </w:rPr>
        <w:tab/>
      </w:r>
      <w:r>
        <w:rPr>
          <w:sz w:val="24"/>
        </w:rPr>
        <w:tab/>
      </w:r>
      <w:r>
        <w:rPr>
          <w:sz w:val="24"/>
        </w:rPr>
        <w:tab/>
        <w:t xml:space="preserve">  </w:t>
      </w:r>
      <w:r w:rsidR="00292E54">
        <w:rPr>
          <w:sz w:val="24"/>
        </w:rPr>
        <w:t>Land</w:t>
      </w:r>
      <w:r w:rsidR="00292E54">
        <w:rPr>
          <w:sz w:val="24"/>
        </w:rPr>
        <w:tab/>
      </w:r>
      <w:r>
        <w:rPr>
          <w:sz w:val="24"/>
        </w:rPr>
        <w:t xml:space="preserve">                        </w:t>
      </w:r>
      <w:r w:rsidR="00053953">
        <w:rPr>
          <w:sz w:val="24"/>
        </w:rPr>
        <w:t>95,997,000.00</w:t>
      </w:r>
    </w:p>
    <w:p w:rsidR="00053953" w:rsidRDefault="004C0239" w:rsidP="004C0239">
      <w:pPr>
        <w:tabs>
          <w:tab w:val="left" w:pos="810"/>
          <w:tab w:val="left" w:pos="900"/>
          <w:tab w:val="left" w:pos="990"/>
        </w:tabs>
        <w:rPr>
          <w:sz w:val="24"/>
        </w:rPr>
      </w:pPr>
      <w:r>
        <w:rPr>
          <w:sz w:val="24"/>
        </w:rPr>
        <w:tab/>
      </w:r>
      <w:r>
        <w:rPr>
          <w:sz w:val="24"/>
        </w:rPr>
        <w:tab/>
      </w:r>
      <w:r>
        <w:rPr>
          <w:sz w:val="24"/>
        </w:rPr>
        <w:tab/>
      </w:r>
      <w:r>
        <w:rPr>
          <w:sz w:val="24"/>
        </w:rPr>
        <w:tab/>
      </w:r>
      <w:r>
        <w:rPr>
          <w:sz w:val="24"/>
        </w:rPr>
        <w:tab/>
      </w:r>
      <w:r>
        <w:rPr>
          <w:sz w:val="24"/>
        </w:rPr>
        <w:tab/>
        <w:t xml:space="preserve">   </w:t>
      </w:r>
      <w:r w:rsidR="00053953">
        <w:rPr>
          <w:sz w:val="24"/>
        </w:rPr>
        <w:t>Office Buildings</w:t>
      </w:r>
      <w:r w:rsidR="00053953">
        <w:rPr>
          <w:sz w:val="24"/>
        </w:rPr>
        <w:tab/>
      </w:r>
      <w:r>
        <w:rPr>
          <w:sz w:val="24"/>
        </w:rPr>
        <w:t xml:space="preserve">  </w:t>
      </w:r>
      <w:r w:rsidR="00053953">
        <w:rPr>
          <w:sz w:val="24"/>
        </w:rPr>
        <w:t>9,099,806.80</w:t>
      </w:r>
    </w:p>
    <w:p w:rsidR="00053953" w:rsidRDefault="004C0239" w:rsidP="004C0239">
      <w:pPr>
        <w:tabs>
          <w:tab w:val="left" w:pos="810"/>
          <w:tab w:val="left" w:pos="900"/>
          <w:tab w:val="left" w:pos="990"/>
        </w:tabs>
        <w:rPr>
          <w:sz w:val="24"/>
          <w:u w:val="single"/>
        </w:rPr>
      </w:pPr>
      <w:r>
        <w:rPr>
          <w:sz w:val="24"/>
        </w:rPr>
        <w:t xml:space="preserve"> </w:t>
      </w:r>
      <w:r>
        <w:rPr>
          <w:sz w:val="24"/>
        </w:rPr>
        <w:tab/>
      </w:r>
      <w:r>
        <w:rPr>
          <w:sz w:val="24"/>
        </w:rPr>
        <w:tab/>
      </w:r>
      <w:r>
        <w:rPr>
          <w:sz w:val="24"/>
        </w:rPr>
        <w:tab/>
      </w:r>
      <w:r>
        <w:rPr>
          <w:sz w:val="24"/>
        </w:rPr>
        <w:tab/>
      </w:r>
      <w:r>
        <w:rPr>
          <w:sz w:val="24"/>
        </w:rPr>
        <w:tab/>
      </w:r>
      <w:r>
        <w:rPr>
          <w:sz w:val="24"/>
        </w:rPr>
        <w:tab/>
        <w:t xml:space="preserve">   </w:t>
      </w:r>
      <w:r w:rsidR="00053953">
        <w:rPr>
          <w:sz w:val="24"/>
        </w:rPr>
        <w:t>School Buildings</w:t>
      </w:r>
      <w:r w:rsidR="00053953">
        <w:rPr>
          <w:sz w:val="24"/>
        </w:rPr>
        <w:tab/>
      </w:r>
      <w:r w:rsidR="00053953" w:rsidRPr="008E1DDA">
        <w:rPr>
          <w:sz w:val="24"/>
          <w:u w:val="single"/>
        </w:rPr>
        <w:t>36,715,969.85</w:t>
      </w:r>
    </w:p>
    <w:p w:rsidR="00053953" w:rsidRPr="008E1DDA" w:rsidRDefault="004C0239" w:rsidP="00B25A1A">
      <w:pPr>
        <w:tabs>
          <w:tab w:val="left" w:pos="810"/>
          <w:tab w:val="left" w:pos="900"/>
          <w:tab w:val="left" w:pos="990"/>
        </w:tabs>
        <w:ind w:left="720"/>
        <w:jc w:val="center"/>
        <w:rPr>
          <w:sz w:val="24"/>
        </w:rPr>
      </w:pPr>
      <w:r>
        <w:rPr>
          <w:sz w:val="24"/>
        </w:rPr>
        <w:t xml:space="preserve">  </w:t>
      </w:r>
      <w:r w:rsidR="00053953">
        <w:rPr>
          <w:sz w:val="24"/>
        </w:rPr>
        <w:t>Total</w:t>
      </w:r>
      <w:r w:rsidR="00053953">
        <w:rPr>
          <w:sz w:val="24"/>
        </w:rPr>
        <w:tab/>
      </w:r>
      <w:r w:rsidR="00053953">
        <w:rPr>
          <w:sz w:val="24"/>
        </w:rPr>
        <w:tab/>
      </w:r>
      <w:r>
        <w:rPr>
          <w:sz w:val="24"/>
        </w:rPr>
        <w:t xml:space="preserve">         </w:t>
      </w:r>
      <w:r w:rsidR="00053953" w:rsidRPr="00244025">
        <w:rPr>
          <w:b/>
          <w:sz w:val="24"/>
          <w:u w:val="double"/>
        </w:rPr>
        <w:t>141,812,776.65</w:t>
      </w:r>
    </w:p>
    <w:p w:rsidR="00053953" w:rsidRPr="00BA00BA" w:rsidRDefault="00053953" w:rsidP="00292E54">
      <w:pPr>
        <w:tabs>
          <w:tab w:val="left" w:pos="900"/>
          <w:tab w:val="left" w:pos="8460"/>
        </w:tabs>
        <w:ind w:left="720" w:right="630"/>
        <w:jc w:val="both"/>
        <w:rPr>
          <w:sz w:val="18"/>
          <w:szCs w:val="18"/>
        </w:rPr>
      </w:pPr>
      <w:r>
        <w:rPr>
          <w:sz w:val="24"/>
        </w:rPr>
        <w:tab/>
      </w:r>
    </w:p>
    <w:p w:rsidR="00053953" w:rsidRDefault="00053953" w:rsidP="00BB1DA9">
      <w:pPr>
        <w:numPr>
          <w:ilvl w:val="0"/>
          <w:numId w:val="12"/>
        </w:numPr>
        <w:tabs>
          <w:tab w:val="left" w:pos="8460"/>
        </w:tabs>
        <w:ind w:left="709" w:hanging="283"/>
        <w:jc w:val="both"/>
        <w:rPr>
          <w:sz w:val="24"/>
        </w:rPr>
      </w:pPr>
      <w:proofErr w:type="spellStart"/>
      <w:r>
        <w:rPr>
          <w:sz w:val="24"/>
        </w:rPr>
        <w:t>Megaworld</w:t>
      </w:r>
      <w:proofErr w:type="spellEnd"/>
      <w:r>
        <w:rPr>
          <w:sz w:val="24"/>
        </w:rPr>
        <w:t xml:space="preserve"> shall assume all expenses in the relocation and replication of the </w:t>
      </w:r>
      <w:proofErr w:type="spellStart"/>
      <w:r>
        <w:rPr>
          <w:sz w:val="24"/>
        </w:rPr>
        <w:t>PhilSCA’s</w:t>
      </w:r>
      <w:proofErr w:type="spellEnd"/>
      <w:r>
        <w:rPr>
          <w:sz w:val="24"/>
        </w:rPr>
        <w:t xml:space="preserve"> classrooms, offices, and other facilities</w:t>
      </w:r>
      <w:r w:rsidR="00795E99">
        <w:rPr>
          <w:sz w:val="24"/>
        </w:rPr>
        <w:t xml:space="preserve"> to</w:t>
      </w:r>
      <w:r>
        <w:rPr>
          <w:sz w:val="24"/>
        </w:rPr>
        <w:t xml:space="preserve"> the relocation site. However, no data</w:t>
      </w:r>
      <w:r w:rsidR="00C03602">
        <w:rPr>
          <w:sz w:val="24"/>
        </w:rPr>
        <w:t xml:space="preserve"> is</w:t>
      </w:r>
      <w:r>
        <w:rPr>
          <w:sz w:val="24"/>
        </w:rPr>
        <w:t xml:space="preserve"> available from </w:t>
      </w:r>
      <w:proofErr w:type="spellStart"/>
      <w:r>
        <w:rPr>
          <w:sz w:val="24"/>
        </w:rPr>
        <w:t>Megaworld</w:t>
      </w:r>
      <w:proofErr w:type="spellEnd"/>
      <w:r>
        <w:rPr>
          <w:sz w:val="24"/>
        </w:rPr>
        <w:t xml:space="preserve"> Corporation as to the values of the following constructed buildings as of year-end to effect detailed reporting of property values in the books:</w:t>
      </w:r>
    </w:p>
    <w:p w:rsidR="00053953" w:rsidRPr="00BA00BA" w:rsidRDefault="00053953" w:rsidP="00292E54">
      <w:pPr>
        <w:tabs>
          <w:tab w:val="left" w:pos="900"/>
          <w:tab w:val="left" w:pos="8460"/>
        </w:tabs>
        <w:ind w:left="720" w:right="630"/>
        <w:jc w:val="both"/>
        <w:rPr>
          <w:sz w:val="18"/>
          <w:szCs w:val="18"/>
        </w:rPr>
      </w:pPr>
    </w:p>
    <w:p w:rsidR="00053953" w:rsidRDefault="00053953" w:rsidP="000F45BD">
      <w:pPr>
        <w:numPr>
          <w:ilvl w:val="0"/>
          <w:numId w:val="14"/>
        </w:numPr>
        <w:ind w:left="3060" w:right="630" w:hanging="270"/>
        <w:jc w:val="both"/>
        <w:rPr>
          <w:sz w:val="24"/>
        </w:rPr>
      </w:pPr>
      <w:r>
        <w:rPr>
          <w:sz w:val="24"/>
        </w:rPr>
        <w:t xml:space="preserve">Main Building 1 – 4 </w:t>
      </w:r>
      <w:proofErr w:type="spellStart"/>
      <w:r>
        <w:rPr>
          <w:sz w:val="24"/>
        </w:rPr>
        <w:t>storey</w:t>
      </w:r>
      <w:r w:rsidR="000F45BD">
        <w:rPr>
          <w:sz w:val="24"/>
        </w:rPr>
        <w:t>s</w:t>
      </w:r>
      <w:proofErr w:type="spellEnd"/>
    </w:p>
    <w:p w:rsidR="00053953" w:rsidRDefault="00053953" w:rsidP="000F45BD">
      <w:pPr>
        <w:numPr>
          <w:ilvl w:val="0"/>
          <w:numId w:val="14"/>
        </w:numPr>
        <w:ind w:left="3060" w:right="630" w:hanging="270"/>
        <w:jc w:val="both"/>
        <w:rPr>
          <w:sz w:val="24"/>
        </w:rPr>
      </w:pPr>
      <w:r>
        <w:rPr>
          <w:sz w:val="24"/>
        </w:rPr>
        <w:t xml:space="preserve">Building 2 – 4 </w:t>
      </w:r>
      <w:proofErr w:type="spellStart"/>
      <w:r>
        <w:rPr>
          <w:sz w:val="24"/>
        </w:rPr>
        <w:t>storey</w:t>
      </w:r>
      <w:r w:rsidR="000F45BD">
        <w:rPr>
          <w:sz w:val="24"/>
        </w:rPr>
        <w:t>s</w:t>
      </w:r>
      <w:proofErr w:type="spellEnd"/>
    </w:p>
    <w:p w:rsidR="00053953" w:rsidRDefault="00053953" w:rsidP="000F45BD">
      <w:pPr>
        <w:numPr>
          <w:ilvl w:val="0"/>
          <w:numId w:val="14"/>
        </w:numPr>
        <w:ind w:left="3060" w:right="630" w:hanging="270"/>
        <w:jc w:val="both"/>
        <w:rPr>
          <w:sz w:val="24"/>
        </w:rPr>
      </w:pPr>
      <w:r>
        <w:rPr>
          <w:sz w:val="24"/>
        </w:rPr>
        <w:t xml:space="preserve">Hangar Building – 2 </w:t>
      </w:r>
      <w:proofErr w:type="spellStart"/>
      <w:r>
        <w:rPr>
          <w:sz w:val="24"/>
        </w:rPr>
        <w:t>storey</w:t>
      </w:r>
      <w:r w:rsidR="000F45BD">
        <w:rPr>
          <w:sz w:val="24"/>
        </w:rPr>
        <w:t>s</w:t>
      </w:r>
      <w:proofErr w:type="spellEnd"/>
    </w:p>
    <w:p w:rsidR="00053953" w:rsidRDefault="00053953" w:rsidP="000F45BD">
      <w:pPr>
        <w:numPr>
          <w:ilvl w:val="0"/>
          <w:numId w:val="14"/>
        </w:numPr>
        <w:ind w:left="3060" w:right="630" w:hanging="270"/>
        <w:jc w:val="both"/>
        <w:rPr>
          <w:sz w:val="24"/>
        </w:rPr>
      </w:pPr>
      <w:r>
        <w:rPr>
          <w:sz w:val="24"/>
        </w:rPr>
        <w:t xml:space="preserve">Quarters Building – 2 </w:t>
      </w:r>
      <w:proofErr w:type="spellStart"/>
      <w:r>
        <w:rPr>
          <w:sz w:val="24"/>
        </w:rPr>
        <w:t>storey</w:t>
      </w:r>
      <w:r w:rsidR="000F45BD">
        <w:rPr>
          <w:sz w:val="24"/>
        </w:rPr>
        <w:t>s</w:t>
      </w:r>
      <w:proofErr w:type="spellEnd"/>
    </w:p>
    <w:p w:rsidR="00053953" w:rsidRDefault="00053953" w:rsidP="000F45BD">
      <w:pPr>
        <w:numPr>
          <w:ilvl w:val="0"/>
          <w:numId w:val="14"/>
        </w:numPr>
        <w:ind w:left="3060" w:right="630" w:hanging="270"/>
        <w:jc w:val="both"/>
        <w:rPr>
          <w:sz w:val="24"/>
        </w:rPr>
      </w:pPr>
      <w:r>
        <w:rPr>
          <w:sz w:val="24"/>
        </w:rPr>
        <w:t xml:space="preserve">One </w:t>
      </w:r>
      <w:proofErr w:type="spellStart"/>
      <w:r>
        <w:rPr>
          <w:sz w:val="24"/>
        </w:rPr>
        <w:t>storey</w:t>
      </w:r>
      <w:proofErr w:type="spellEnd"/>
      <w:r>
        <w:rPr>
          <w:sz w:val="24"/>
        </w:rPr>
        <w:t xml:space="preserve"> dormitory</w:t>
      </w:r>
    </w:p>
    <w:p w:rsidR="00053953" w:rsidRDefault="00053953" w:rsidP="000F45BD">
      <w:pPr>
        <w:numPr>
          <w:ilvl w:val="0"/>
          <w:numId w:val="14"/>
        </w:numPr>
        <w:ind w:left="3060" w:right="630" w:hanging="270"/>
        <w:jc w:val="both"/>
        <w:rPr>
          <w:sz w:val="24"/>
        </w:rPr>
      </w:pPr>
      <w:r>
        <w:rPr>
          <w:sz w:val="24"/>
        </w:rPr>
        <w:t>Flight Simulator Building</w:t>
      </w:r>
    </w:p>
    <w:p w:rsidR="00053953" w:rsidRDefault="00053953" w:rsidP="000F45BD">
      <w:pPr>
        <w:numPr>
          <w:ilvl w:val="0"/>
          <w:numId w:val="14"/>
        </w:numPr>
        <w:ind w:left="3060" w:right="630" w:hanging="270"/>
        <w:jc w:val="both"/>
        <w:rPr>
          <w:sz w:val="24"/>
        </w:rPr>
      </w:pPr>
      <w:r>
        <w:rPr>
          <w:sz w:val="24"/>
        </w:rPr>
        <w:t>Parking facility</w:t>
      </w:r>
    </w:p>
    <w:p w:rsidR="00053953" w:rsidRPr="00BA00BA" w:rsidRDefault="00053953" w:rsidP="008F517D">
      <w:pPr>
        <w:ind w:left="180"/>
        <w:jc w:val="both"/>
        <w:rPr>
          <w:sz w:val="18"/>
          <w:szCs w:val="18"/>
        </w:rPr>
      </w:pPr>
    </w:p>
    <w:p w:rsidR="00053953" w:rsidRDefault="00D74F58" w:rsidP="00BB1DA9">
      <w:pPr>
        <w:pStyle w:val="BodyTextIndent"/>
        <w:tabs>
          <w:tab w:val="left" w:pos="8370"/>
        </w:tabs>
        <w:ind w:left="426" w:firstLine="0"/>
      </w:pPr>
      <w:r w:rsidRPr="00940833">
        <w:rPr>
          <w:szCs w:val="24"/>
        </w:rPr>
        <w:t>The</w:t>
      </w:r>
      <w:r>
        <w:t xml:space="preserve"> Land account recorded at </w:t>
      </w:r>
      <w:r w:rsidR="00F23FA1" w:rsidRPr="002A5D9E">
        <w:t>₱</w:t>
      </w:r>
      <w:r w:rsidR="00053953">
        <w:t>255,000,000.00 pertains to the zonal value of the new site measuring about 17,000 sq</w:t>
      </w:r>
      <w:r w:rsidR="002A5CB7">
        <w:t>uare meters</w:t>
      </w:r>
      <w:r w:rsidR="00053953">
        <w:t xml:space="preserve"> at </w:t>
      </w:r>
      <w:r w:rsidR="00A0246B" w:rsidRPr="002A5D9E">
        <w:t>₱</w:t>
      </w:r>
      <w:r w:rsidR="00053953">
        <w:t xml:space="preserve">15,000.00 per square meter as determined by the COA Audit Team based on the latest revised zonal values of all lots within the Philippines as of December 11, 2009 as posted in the Bureau of Internal Revenue website. Independent property appraisers contracted by </w:t>
      </w:r>
      <w:proofErr w:type="spellStart"/>
      <w:r w:rsidR="00053953">
        <w:t>PhilSCA</w:t>
      </w:r>
      <w:proofErr w:type="spellEnd"/>
      <w:r w:rsidR="005F0B67">
        <w:t xml:space="preserve"> </w:t>
      </w:r>
      <w:r w:rsidR="00725BE2">
        <w:t>in CY</w:t>
      </w:r>
      <w:r w:rsidR="00053953">
        <w:t xml:space="preserve"> 2010 however, revealed an appraised valu</w:t>
      </w:r>
      <w:r>
        <w:t xml:space="preserve">e of the new site from </w:t>
      </w:r>
      <w:r w:rsidR="00A0246B" w:rsidRPr="002A5D9E">
        <w:t>₱</w:t>
      </w:r>
      <w:r>
        <w:t xml:space="preserve">425,000,000.00 to </w:t>
      </w:r>
      <w:r w:rsidR="00A0246B" w:rsidRPr="002A5D9E">
        <w:t>₱</w:t>
      </w:r>
      <w:r w:rsidR="00053953">
        <w:t xml:space="preserve">488,712,000.00. There has to be a formal transfer of title yet for the relocation site at </w:t>
      </w:r>
      <w:proofErr w:type="spellStart"/>
      <w:r w:rsidR="00053953">
        <w:t>Piccio</w:t>
      </w:r>
      <w:proofErr w:type="spellEnd"/>
      <w:r w:rsidR="00053953">
        <w:t xml:space="preserve"> Garden, </w:t>
      </w:r>
      <w:proofErr w:type="spellStart"/>
      <w:r w:rsidR="00053953">
        <w:t>Villamor</w:t>
      </w:r>
      <w:proofErr w:type="spellEnd"/>
      <w:r w:rsidR="00053953">
        <w:t xml:space="preserve"> Air Base, </w:t>
      </w:r>
      <w:proofErr w:type="gramStart"/>
      <w:r w:rsidR="00053953">
        <w:t>Pasay</w:t>
      </w:r>
      <w:proofErr w:type="gramEnd"/>
      <w:r w:rsidR="00053953">
        <w:t xml:space="preserve"> City. Further, the Certificate of Acceptance has yet to be issued by the Management to ensure first that the buildings are structurally sound and free from any defects before issuing the said certificate. </w:t>
      </w:r>
    </w:p>
    <w:p w:rsidR="00053953" w:rsidRPr="00BA00BA" w:rsidRDefault="00053953" w:rsidP="008F517D">
      <w:pPr>
        <w:ind w:left="180" w:firstLine="720"/>
        <w:jc w:val="both"/>
        <w:rPr>
          <w:sz w:val="18"/>
          <w:szCs w:val="18"/>
        </w:rPr>
      </w:pPr>
    </w:p>
    <w:p w:rsidR="00053953" w:rsidRDefault="00053953" w:rsidP="00BB1DA9">
      <w:pPr>
        <w:pStyle w:val="BodyTextIndent"/>
        <w:tabs>
          <w:tab w:val="left" w:pos="8370"/>
        </w:tabs>
        <w:ind w:left="426" w:firstLine="0"/>
      </w:pPr>
      <w:r w:rsidRPr="00940833">
        <w:rPr>
          <w:szCs w:val="24"/>
        </w:rPr>
        <w:t>The</w:t>
      </w:r>
      <w:r>
        <w:t xml:space="preserve"> demolished buildings and struc</w:t>
      </w:r>
      <w:r w:rsidR="00D74F58">
        <w:t xml:space="preserve">tures at the old site costing </w:t>
      </w:r>
      <w:r w:rsidR="00A0246B" w:rsidRPr="002A5D9E">
        <w:t>₱</w:t>
      </w:r>
      <w:r>
        <w:t xml:space="preserve">45,815,776.65 which were recorded as of December 31, 2012 were dropped from the books of accounts as </w:t>
      </w:r>
      <w:r w:rsidR="00ED4D93">
        <w:t>in CY</w:t>
      </w:r>
      <w:r>
        <w:t xml:space="preserve"> 2013 as recommended by the COA Audit Team in their Annual Audit Report </w:t>
      </w:r>
      <w:r w:rsidR="000E345C">
        <w:t>for CY</w:t>
      </w:r>
      <w:r>
        <w:t xml:space="preserve"> 2012. Recorded buildings for the year 2014 only </w:t>
      </w:r>
      <w:r w:rsidRPr="00AF13AC">
        <w:t>refer</w:t>
      </w:r>
      <w:r>
        <w:t xml:space="preserve"> to buildings occupied by satellite campuses inside the airbases of </w:t>
      </w:r>
      <w:proofErr w:type="spellStart"/>
      <w:r>
        <w:t>Mactan</w:t>
      </w:r>
      <w:proofErr w:type="spellEnd"/>
      <w:r>
        <w:t xml:space="preserve"> (</w:t>
      </w:r>
      <w:proofErr w:type="spellStart"/>
      <w:r>
        <w:t>Lapulapu</w:t>
      </w:r>
      <w:proofErr w:type="spellEnd"/>
      <w:r>
        <w:t xml:space="preserve"> City, Cebu), </w:t>
      </w:r>
      <w:proofErr w:type="spellStart"/>
      <w:r>
        <w:t>Basa</w:t>
      </w:r>
      <w:proofErr w:type="spellEnd"/>
      <w:r>
        <w:t xml:space="preserve"> (</w:t>
      </w:r>
      <w:proofErr w:type="spellStart"/>
      <w:r>
        <w:t>Floridablanca</w:t>
      </w:r>
      <w:proofErr w:type="spellEnd"/>
      <w:r>
        <w:t>, Pampanga) and Fernando (</w:t>
      </w:r>
      <w:proofErr w:type="spellStart"/>
      <w:r>
        <w:t>Lipa</w:t>
      </w:r>
      <w:proofErr w:type="spellEnd"/>
      <w:r>
        <w:t xml:space="preserve"> City, </w:t>
      </w:r>
      <w:proofErr w:type="spellStart"/>
      <w:r>
        <w:t>Batangas</w:t>
      </w:r>
      <w:proofErr w:type="spellEnd"/>
      <w:r>
        <w:t>).</w:t>
      </w:r>
    </w:p>
    <w:p w:rsidR="00BA00BA" w:rsidRDefault="00BA00BA">
      <w:pPr>
        <w:rPr>
          <w:sz w:val="24"/>
        </w:rPr>
      </w:pPr>
      <w:r>
        <w:rPr>
          <w:sz w:val="24"/>
        </w:rPr>
        <w:br w:type="page"/>
      </w:r>
    </w:p>
    <w:p w:rsidR="00053953" w:rsidRDefault="00053953" w:rsidP="00BA00BA">
      <w:pPr>
        <w:pStyle w:val="BodyTextIndent"/>
        <w:tabs>
          <w:tab w:val="left" w:pos="8370"/>
        </w:tabs>
        <w:ind w:left="426" w:firstLine="0"/>
      </w:pPr>
      <w:r>
        <w:lastRenderedPageBreak/>
        <w:t xml:space="preserve">All other properties and deliverables by </w:t>
      </w:r>
      <w:proofErr w:type="spellStart"/>
      <w:r>
        <w:t>Megaworld</w:t>
      </w:r>
      <w:proofErr w:type="spellEnd"/>
      <w:r>
        <w:t xml:space="preserve"> with identified values were already reflected in the books, such as: the Cessna 150 aircraft, audio visual and speech laboratory equipment, chemistry and physics laboratory facilities, standby generator, noise barrier, motor vehicle and other equipment.</w:t>
      </w:r>
    </w:p>
    <w:p w:rsidR="00053953" w:rsidRPr="00BA00BA" w:rsidRDefault="00053953" w:rsidP="008F517D">
      <w:pPr>
        <w:ind w:left="180" w:firstLine="720"/>
        <w:jc w:val="both"/>
        <w:rPr>
          <w:sz w:val="24"/>
          <w:szCs w:val="24"/>
        </w:rPr>
      </w:pPr>
    </w:p>
    <w:p w:rsidR="00053953" w:rsidRDefault="00053953" w:rsidP="00BA00BA">
      <w:pPr>
        <w:pStyle w:val="BodyTextIndent"/>
        <w:tabs>
          <w:tab w:val="left" w:pos="8370"/>
        </w:tabs>
        <w:ind w:left="426" w:firstLine="0"/>
      </w:pPr>
      <w:r>
        <w:t xml:space="preserve">In </w:t>
      </w:r>
      <w:r w:rsidRPr="00940833">
        <w:rPr>
          <w:szCs w:val="24"/>
        </w:rPr>
        <w:t>addition</w:t>
      </w:r>
      <w:r>
        <w:t xml:space="preserve">, another two </w:t>
      </w:r>
      <w:r w:rsidR="00C21425">
        <w:t>D</w:t>
      </w:r>
      <w:r>
        <w:t xml:space="preserve">eeds of </w:t>
      </w:r>
      <w:r w:rsidR="00C21425">
        <w:t>D</w:t>
      </w:r>
      <w:r>
        <w:t xml:space="preserve">onations were received by </w:t>
      </w:r>
      <w:proofErr w:type="spellStart"/>
      <w:r>
        <w:t>PhilSCA</w:t>
      </w:r>
      <w:proofErr w:type="spellEnd"/>
      <w:r>
        <w:t xml:space="preserve"> from the Municipalities of </w:t>
      </w:r>
      <w:proofErr w:type="spellStart"/>
      <w:r>
        <w:t>Floridablanca</w:t>
      </w:r>
      <w:proofErr w:type="spellEnd"/>
      <w:r>
        <w:t xml:space="preserve"> in Pampanga and from Medellin, Cebu for a parcel of land and buildings. The donated parcel of land situated at </w:t>
      </w:r>
      <w:proofErr w:type="spellStart"/>
      <w:r>
        <w:t>Brgy</w:t>
      </w:r>
      <w:proofErr w:type="spellEnd"/>
      <w:r>
        <w:t xml:space="preserve">. </w:t>
      </w:r>
      <w:proofErr w:type="spellStart"/>
      <w:r>
        <w:t>Palmayo</w:t>
      </w:r>
      <w:proofErr w:type="spellEnd"/>
      <w:r>
        <w:t xml:space="preserve">, </w:t>
      </w:r>
      <w:proofErr w:type="spellStart"/>
      <w:r>
        <w:t>Floridablanca</w:t>
      </w:r>
      <w:proofErr w:type="spellEnd"/>
      <w:r>
        <w:t xml:space="preserve"> Pampanga, has an estimated area of 16,309 square meters with a two </w:t>
      </w:r>
      <w:proofErr w:type="spellStart"/>
      <w:r>
        <w:t>storey</w:t>
      </w:r>
      <w:proofErr w:type="spellEnd"/>
      <w:r>
        <w:t xml:space="preserve"> building, a gymnasium and playground while the donated property at </w:t>
      </w:r>
      <w:proofErr w:type="spellStart"/>
      <w:r>
        <w:t>Brgy</w:t>
      </w:r>
      <w:proofErr w:type="spellEnd"/>
      <w:r>
        <w:t xml:space="preserve">. </w:t>
      </w:r>
      <w:proofErr w:type="spellStart"/>
      <w:r>
        <w:t>Curva</w:t>
      </w:r>
      <w:proofErr w:type="spellEnd"/>
      <w:r>
        <w:t xml:space="preserve">, Medellin, Cebu has a total lot area of 500 square meters with a two </w:t>
      </w:r>
      <w:proofErr w:type="spellStart"/>
      <w:r>
        <w:t>storey</w:t>
      </w:r>
      <w:proofErr w:type="spellEnd"/>
      <w:r>
        <w:t xml:space="preserve"> building structure with a floor area of 355 square meters. </w:t>
      </w:r>
      <w:r w:rsidR="0021476A">
        <w:t xml:space="preserve">On top of the two deeds of donations, another donation was received by </w:t>
      </w:r>
      <w:proofErr w:type="spellStart"/>
      <w:r w:rsidR="0021476A">
        <w:t>PhilSCA</w:t>
      </w:r>
      <w:proofErr w:type="spellEnd"/>
      <w:r w:rsidR="0021476A">
        <w:t xml:space="preserve"> </w:t>
      </w:r>
      <w:r w:rsidR="005F0B67" w:rsidRPr="00AF13AC">
        <w:t>in</w:t>
      </w:r>
      <w:r w:rsidR="0021476A">
        <w:t xml:space="preserve"> CY 2016 for a parcel of lot</w:t>
      </w:r>
      <w:r w:rsidR="00EE3C1A">
        <w:t xml:space="preserve"> representing 15,000 square meters land located at </w:t>
      </w:r>
      <w:proofErr w:type="spellStart"/>
      <w:r w:rsidR="00EE3C1A">
        <w:t>Dalipit</w:t>
      </w:r>
      <w:proofErr w:type="spellEnd"/>
      <w:r w:rsidR="00EE3C1A">
        <w:t xml:space="preserve"> East,</w:t>
      </w:r>
      <w:r w:rsidR="0021476A">
        <w:t xml:space="preserve"> Cuenca, </w:t>
      </w:r>
      <w:proofErr w:type="spellStart"/>
      <w:proofErr w:type="gramStart"/>
      <w:r w:rsidR="0021476A">
        <w:t>Batangas</w:t>
      </w:r>
      <w:proofErr w:type="spellEnd"/>
      <w:proofErr w:type="gramEnd"/>
      <w:r w:rsidR="0021476A">
        <w:t xml:space="preserve"> for the proposed future relocation of </w:t>
      </w:r>
      <w:proofErr w:type="spellStart"/>
      <w:r w:rsidR="0021476A">
        <w:t>PhilSCA</w:t>
      </w:r>
      <w:proofErr w:type="spellEnd"/>
      <w:r w:rsidR="0021476A">
        <w:t xml:space="preserve">- FAB Campus. </w:t>
      </w:r>
      <w:r w:rsidR="00E45CC1">
        <w:t>All</w:t>
      </w:r>
      <w:r>
        <w:t xml:space="preserve"> deeds of donation did not specify the total value of the properties granted to the College, and are yet to be determined on the next accounting period.</w:t>
      </w:r>
    </w:p>
    <w:p w:rsidR="004E1FC5" w:rsidRPr="00BA00BA" w:rsidRDefault="004E1FC5" w:rsidP="00124F98">
      <w:pPr>
        <w:ind w:firstLine="810"/>
        <w:jc w:val="both"/>
        <w:rPr>
          <w:sz w:val="24"/>
          <w:szCs w:val="24"/>
        </w:rPr>
      </w:pPr>
    </w:p>
    <w:p w:rsidR="00390C0F" w:rsidRDefault="00390C0F" w:rsidP="00BA00BA">
      <w:pPr>
        <w:pStyle w:val="BodyTextIndent"/>
        <w:numPr>
          <w:ilvl w:val="0"/>
          <w:numId w:val="18"/>
        </w:numPr>
        <w:ind w:left="426" w:hanging="426"/>
        <w:rPr>
          <w:b/>
          <w:szCs w:val="24"/>
        </w:rPr>
      </w:pPr>
      <w:r>
        <w:rPr>
          <w:b/>
          <w:szCs w:val="24"/>
        </w:rPr>
        <w:t>Other</w:t>
      </w:r>
      <w:r w:rsidR="00B1375E">
        <w:rPr>
          <w:b/>
          <w:szCs w:val="24"/>
        </w:rPr>
        <w:t xml:space="preserve"> Current</w:t>
      </w:r>
      <w:r>
        <w:rPr>
          <w:b/>
          <w:szCs w:val="24"/>
        </w:rPr>
        <w:t xml:space="preserve"> Assets</w:t>
      </w:r>
    </w:p>
    <w:p w:rsidR="00482F3C" w:rsidRPr="00BA00BA" w:rsidRDefault="00390C0F" w:rsidP="00124F98">
      <w:pPr>
        <w:tabs>
          <w:tab w:val="left" w:pos="360"/>
          <w:tab w:val="left" w:pos="540"/>
          <w:tab w:val="left" w:pos="720"/>
        </w:tabs>
        <w:jc w:val="both"/>
        <w:rPr>
          <w:b/>
          <w:sz w:val="24"/>
          <w:szCs w:val="24"/>
        </w:rPr>
      </w:pPr>
      <w:r>
        <w:rPr>
          <w:b/>
          <w:sz w:val="24"/>
          <w:szCs w:val="24"/>
        </w:rPr>
        <w:tab/>
      </w:r>
    </w:p>
    <w:p w:rsidR="00390C0F" w:rsidRDefault="00B1375E" w:rsidP="00BA00BA">
      <w:pPr>
        <w:pStyle w:val="BodyTextIndent"/>
        <w:tabs>
          <w:tab w:val="left" w:pos="8370"/>
        </w:tabs>
        <w:ind w:left="426" w:firstLine="0"/>
        <w:rPr>
          <w:szCs w:val="24"/>
        </w:rPr>
      </w:pPr>
      <w:r>
        <w:rPr>
          <w:szCs w:val="24"/>
        </w:rPr>
        <w:t>This consists of the following accounts:</w:t>
      </w:r>
    </w:p>
    <w:p w:rsidR="00B1375E" w:rsidRPr="00BA00BA" w:rsidRDefault="00B1375E" w:rsidP="00DC75E6">
      <w:pPr>
        <w:tabs>
          <w:tab w:val="left" w:pos="180"/>
          <w:tab w:val="left" w:pos="540"/>
          <w:tab w:val="left" w:pos="720"/>
        </w:tabs>
        <w:ind w:left="180"/>
        <w:jc w:val="both"/>
        <w:rPr>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DC75E6" w:rsidRPr="00F21C4E" w:rsidTr="00BA00BA">
        <w:trPr>
          <w:trHeight w:val="238"/>
        </w:trPr>
        <w:tc>
          <w:tcPr>
            <w:tcW w:w="4680" w:type="dxa"/>
            <w:shd w:val="clear" w:color="auto" w:fill="auto"/>
            <w:vAlign w:val="center"/>
            <w:hideMark/>
          </w:tcPr>
          <w:p w:rsidR="00DC75E6" w:rsidRPr="00F21C4E" w:rsidRDefault="00DC75E6" w:rsidP="00BA00BA">
            <w:pPr>
              <w:tabs>
                <w:tab w:val="left" w:pos="180"/>
              </w:tabs>
              <w:ind w:left="180"/>
              <w:jc w:val="center"/>
              <w:rPr>
                <w:b/>
                <w:bCs/>
                <w:color w:val="000000"/>
                <w:sz w:val="22"/>
                <w:lang w:val="en-PH"/>
              </w:rPr>
            </w:pPr>
            <w:r w:rsidRPr="00F21C4E">
              <w:rPr>
                <w:b/>
                <w:bCs/>
                <w:color w:val="000000"/>
                <w:sz w:val="22"/>
                <w:lang w:val="en-PH"/>
              </w:rPr>
              <w:t>Account Title</w:t>
            </w:r>
          </w:p>
        </w:tc>
        <w:tc>
          <w:tcPr>
            <w:tcW w:w="1890" w:type="dxa"/>
            <w:shd w:val="clear" w:color="auto" w:fill="auto"/>
            <w:noWrap/>
            <w:vAlign w:val="center"/>
            <w:hideMark/>
          </w:tcPr>
          <w:p w:rsidR="00DC75E6" w:rsidRPr="00F21C4E" w:rsidRDefault="00DC75E6" w:rsidP="00BA00BA">
            <w:pPr>
              <w:tabs>
                <w:tab w:val="left" w:pos="180"/>
              </w:tabs>
              <w:ind w:left="180"/>
              <w:jc w:val="center"/>
              <w:rPr>
                <w:b/>
                <w:bCs/>
                <w:color w:val="000000"/>
                <w:sz w:val="22"/>
                <w:lang w:val="en-PH"/>
              </w:rPr>
            </w:pPr>
            <w:r w:rsidRPr="00F21C4E">
              <w:rPr>
                <w:b/>
                <w:bCs/>
                <w:color w:val="000000"/>
                <w:sz w:val="22"/>
                <w:lang w:val="en-PH"/>
              </w:rPr>
              <w:t>2016</w:t>
            </w:r>
          </w:p>
        </w:tc>
        <w:tc>
          <w:tcPr>
            <w:tcW w:w="1710" w:type="dxa"/>
            <w:shd w:val="clear" w:color="auto" w:fill="auto"/>
            <w:noWrap/>
            <w:vAlign w:val="center"/>
            <w:hideMark/>
          </w:tcPr>
          <w:p w:rsidR="00DC75E6" w:rsidRPr="00F21C4E" w:rsidRDefault="00DC75E6" w:rsidP="00BA00BA">
            <w:pPr>
              <w:tabs>
                <w:tab w:val="left" w:pos="180"/>
              </w:tabs>
              <w:ind w:left="180"/>
              <w:jc w:val="center"/>
              <w:rPr>
                <w:b/>
                <w:bCs/>
                <w:color w:val="000000"/>
                <w:sz w:val="22"/>
                <w:lang w:val="en-PH"/>
              </w:rPr>
            </w:pPr>
            <w:r w:rsidRPr="00F21C4E">
              <w:rPr>
                <w:b/>
                <w:bCs/>
                <w:color w:val="000000"/>
                <w:sz w:val="22"/>
                <w:lang w:val="en-PH"/>
              </w:rPr>
              <w:t>2015</w:t>
            </w:r>
          </w:p>
        </w:tc>
      </w:tr>
      <w:tr w:rsidR="00DC75E6" w:rsidRPr="00F21C4E" w:rsidTr="00BA00BA">
        <w:trPr>
          <w:trHeight w:val="238"/>
        </w:trPr>
        <w:tc>
          <w:tcPr>
            <w:tcW w:w="4680" w:type="dxa"/>
            <w:shd w:val="clear" w:color="auto" w:fill="auto"/>
            <w:noWrap/>
            <w:vAlign w:val="center"/>
            <w:hideMark/>
          </w:tcPr>
          <w:p w:rsidR="00DC75E6" w:rsidRPr="00F21C4E" w:rsidRDefault="00DC75E6" w:rsidP="00BA00BA">
            <w:pPr>
              <w:rPr>
                <w:color w:val="000000"/>
                <w:sz w:val="22"/>
                <w:lang w:val="en-PH"/>
              </w:rPr>
            </w:pPr>
            <w:r w:rsidRPr="00F21C4E">
              <w:rPr>
                <w:color w:val="000000"/>
                <w:sz w:val="22"/>
                <w:lang w:val="en-PH"/>
              </w:rPr>
              <w:t>Advances</w:t>
            </w:r>
          </w:p>
        </w:tc>
        <w:tc>
          <w:tcPr>
            <w:tcW w:w="1890" w:type="dxa"/>
            <w:shd w:val="clear" w:color="auto" w:fill="auto"/>
            <w:noWrap/>
            <w:vAlign w:val="center"/>
          </w:tcPr>
          <w:p w:rsidR="00DC75E6" w:rsidRPr="00F21C4E" w:rsidRDefault="00DC75E6" w:rsidP="00BA00BA">
            <w:pPr>
              <w:tabs>
                <w:tab w:val="left" w:pos="180"/>
              </w:tabs>
              <w:ind w:left="180"/>
              <w:jc w:val="right"/>
              <w:rPr>
                <w:color w:val="000000"/>
                <w:sz w:val="22"/>
                <w:lang w:val="en-PH"/>
              </w:rPr>
            </w:pPr>
            <w:r w:rsidRPr="00F21C4E">
              <w:rPr>
                <w:color w:val="000000"/>
                <w:sz w:val="22"/>
                <w:lang w:val="en-PH"/>
              </w:rPr>
              <w:t>30,916.50</w:t>
            </w:r>
          </w:p>
        </w:tc>
        <w:tc>
          <w:tcPr>
            <w:tcW w:w="1710" w:type="dxa"/>
            <w:shd w:val="clear" w:color="auto" w:fill="auto"/>
            <w:noWrap/>
            <w:vAlign w:val="center"/>
            <w:hideMark/>
          </w:tcPr>
          <w:p w:rsidR="00DC75E6" w:rsidRPr="00F21C4E" w:rsidRDefault="00DC75E6" w:rsidP="00BA00BA">
            <w:pPr>
              <w:tabs>
                <w:tab w:val="left" w:pos="180"/>
              </w:tabs>
              <w:ind w:left="180"/>
              <w:jc w:val="right"/>
              <w:rPr>
                <w:color w:val="000000"/>
                <w:sz w:val="22"/>
                <w:lang w:val="en-PH"/>
              </w:rPr>
            </w:pPr>
            <w:r w:rsidRPr="00F21C4E">
              <w:rPr>
                <w:color w:val="000000"/>
                <w:sz w:val="22"/>
                <w:lang w:val="en-PH"/>
              </w:rPr>
              <w:t>506,965.08</w:t>
            </w:r>
          </w:p>
        </w:tc>
      </w:tr>
      <w:tr w:rsidR="00DC75E6" w:rsidRPr="00F21C4E" w:rsidTr="00BA00BA">
        <w:trPr>
          <w:trHeight w:val="238"/>
        </w:trPr>
        <w:tc>
          <w:tcPr>
            <w:tcW w:w="4680" w:type="dxa"/>
            <w:shd w:val="clear" w:color="auto" w:fill="auto"/>
            <w:noWrap/>
            <w:vAlign w:val="center"/>
            <w:hideMark/>
          </w:tcPr>
          <w:p w:rsidR="00DC75E6" w:rsidRPr="00F21C4E" w:rsidRDefault="00DC75E6" w:rsidP="00BA00BA">
            <w:pPr>
              <w:rPr>
                <w:color w:val="000000"/>
                <w:sz w:val="22"/>
                <w:lang w:val="en-PH"/>
              </w:rPr>
            </w:pPr>
            <w:r w:rsidRPr="00F21C4E">
              <w:rPr>
                <w:color w:val="000000"/>
                <w:sz w:val="22"/>
                <w:lang w:val="en-PH"/>
              </w:rPr>
              <w:t>Prepayments</w:t>
            </w:r>
          </w:p>
        </w:tc>
        <w:tc>
          <w:tcPr>
            <w:tcW w:w="1890" w:type="dxa"/>
            <w:shd w:val="clear" w:color="auto" w:fill="auto"/>
            <w:noWrap/>
            <w:vAlign w:val="center"/>
          </w:tcPr>
          <w:p w:rsidR="00DC75E6" w:rsidRPr="00F21C4E" w:rsidRDefault="00DC75E6" w:rsidP="00BA00BA">
            <w:pPr>
              <w:tabs>
                <w:tab w:val="left" w:pos="180"/>
              </w:tabs>
              <w:ind w:left="180"/>
              <w:jc w:val="right"/>
              <w:rPr>
                <w:color w:val="000000"/>
                <w:sz w:val="22"/>
                <w:lang w:val="en-PH"/>
              </w:rPr>
            </w:pPr>
            <w:r w:rsidRPr="00F21C4E">
              <w:rPr>
                <w:color w:val="000000"/>
                <w:sz w:val="22"/>
                <w:lang w:val="en-PH"/>
              </w:rPr>
              <w:t>2,994,101.53</w:t>
            </w:r>
          </w:p>
        </w:tc>
        <w:tc>
          <w:tcPr>
            <w:tcW w:w="1710" w:type="dxa"/>
            <w:shd w:val="clear" w:color="auto" w:fill="auto"/>
            <w:noWrap/>
            <w:vAlign w:val="center"/>
            <w:hideMark/>
          </w:tcPr>
          <w:p w:rsidR="00DC75E6" w:rsidRPr="00F21C4E" w:rsidRDefault="00DC75E6" w:rsidP="00BA00BA">
            <w:pPr>
              <w:tabs>
                <w:tab w:val="left" w:pos="180"/>
              </w:tabs>
              <w:ind w:left="180"/>
              <w:jc w:val="right"/>
              <w:rPr>
                <w:color w:val="000000"/>
                <w:sz w:val="22"/>
                <w:lang w:val="en-PH"/>
              </w:rPr>
            </w:pPr>
            <w:r w:rsidRPr="00F21C4E">
              <w:rPr>
                <w:color w:val="000000"/>
                <w:sz w:val="22"/>
                <w:lang w:val="en-PH"/>
              </w:rPr>
              <w:t>2,563,056.13</w:t>
            </w:r>
          </w:p>
        </w:tc>
      </w:tr>
      <w:tr w:rsidR="00DC75E6" w:rsidRPr="00F21C4E" w:rsidTr="00BA00BA">
        <w:trPr>
          <w:trHeight w:val="238"/>
        </w:trPr>
        <w:tc>
          <w:tcPr>
            <w:tcW w:w="4680" w:type="dxa"/>
            <w:shd w:val="clear" w:color="auto" w:fill="auto"/>
            <w:noWrap/>
            <w:vAlign w:val="center"/>
            <w:hideMark/>
          </w:tcPr>
          <w:p w:rsidR="00DC75E6" w:rsidRPr="00F21C4E" w:rsidRDefault="0088161B" w:rsidP="00BA00BA">
            <w:pPr>
              <w:rPr>
                <w:b/>
                <w:bCs/>
                <w:color w:val="000000"/>
                <w:sz w:val="22"/>
                <w:lang w:val="en-PH"/>
              </w:rPr>
            </w:pPr>
            <w:r w:rsidRPr="00F21C4E">
              <w:rPr>
                <w:b/>
                <w:bCs/>
                <w:color w:val="000000"/>
                <w:sz w:val="22"/>
                <w:lang w:val="en-PH"/>
              </w:rPr>
              <w:t>Total</w:t>
            </w:r>
          </w:p>
        </w:tc>
        <w:tc>
          <w:tcPr>
            <w:tcW w:w="1890" w:type="dxa"/>
            <w:shd w:val="clear" w:color="auto" w:fill="auto"/>
            <w:noWrap/>
            <w:vAlign w:val="center"/>
            <w:hideMark/>
          </w:tcPr>
          <w:p w:rsidR="00DC75E6" w:rsidRPr="00F21C4E" w:rsidRDefault="00DC75E6" w:rsidP="00BA00BA">
            <w:pPr>
              <w:tabs>
                <w:tab w:val="left" w:pos="180"/>
              </w:tabs>
              <w:ind w:left="180"/>
              <w:jc w:val="right"/>
              <w:rPr>
                <w:b/>
                <w:color w:val="000000"/>
                <w:sz w:val="22"/>
                <w:lang w:val="en-PH"/>
              </w:rPr>
            </w:pPr>
            <w:r w:rsidRPr="00F21C4E">
              <w:rPr>
                <w:b/>
                <w:color w:val="000000"/>
                <w:sz w:val="22"/>
                <w:lang w:val="en-PH"/>
              </w:rPr>
              <w:t>3,025,018.03</w:t>
            </w:r>
          </w:p>
        </w:tc>
        <w:tc>
          <w:tcPr>
            <w:tcW w:w="1710" w:type="dxa"/>
            <w:shd w:val="clear" w:color="auto" w:fill="auto"/>
            <w:noWrap/>
            <w:vAlign w:val="center"/>
            <w:hideMark/>
          </w:tcPr>
          <w:p w:rsidR="00DC75E6" w:rsidRPr="00F21C4E" w:rsidRDefault="00DC75E6" w:rsidP="00BA00BA">
            <w:pPr>
              <w:tabs>
                <w:tab w:val="left" w:pos="180"/>
              </w:tabs>
              <w:ind w:left="180"/>
              <w:jc w:val="right"/>
              <w:rPr>
                <w:b/>
                <w:color w:val="000000"/>
                <w:sz w:val="22"/>
                <w:lang w:val="en-PH"/>
              </w:rPr>
            </w:pPr>
            <w:r w:rsidRPr="00F21C4E">
              <w:rPr>
                <w:b/>
                <w:color w:val="000000"/>
                <w:sz w:val="22"/>
                <w:lang w:val="en-PH"/>
              </w:rPr>
              <w:t>3,070,021.21</w:t>
            </w:r>
          </w:p>
        </w:tc>
      </w:tr>
    </w:tbl>
    <w:p w:rsidR="0021418C" w:rsidRPr="00BA00BA" w:rsidRDefault="0021418C" w:rsidP="00DC75E6">
      <w:pPr>
        <w:tabs>
          <w:tab w:val="left" w:pos="180"/>
          <w:tab w:val="left" w:pos="1170"/>
        </w:tabs>
        <w:ind w:left="180"/>
        <w:jc w:val="both"/>
        <w:rPr>
          <w:b/>
          <w:sz w:val="24"/>
          <w:szCs w:val="24"/>
        </w:rPr>
      </w:pPr>
    </w:p>
    <w:p w:rsidR="00745FDE" w:rsidRPr="00745FDE" w:rsidRDefault="00745FDE" w:rsidP="00BA00BA">
      <w:pPr>
        <w:pStyle w:val="BodyTextIndent"/>
        <w:tabs>
          <w:tab w:val="left" w:pos="8370"/>
        </w:tabs>
        <w:ind w:left="426" w:firstLine="0"/>
        <w:rPr>
          <w:szCs w:val="24"/>
        </w:rPr>
      </w:pPr>
      <w:r w:rsidRPr="00745FDE">
        <w:rPr>
          <w:szCs w:val="24"/>
        </w:rPr>
        <w:t>Prepayments</w:t>
      </w:r>
      <w:r>
        <w:rPr>
          <w:szCs w:val="24"/>
        </w:rPr>
        <w:t xml:space="preserve"> pertain to insurance payments for the Agency’s vehicle, aircraft, other properties and personal accident insurance for students, faculty and staffs.</w:t>
      </w:r>
    </w:p>
    <w:p w:rsidR="006F7F88" w:rsidRPr="00BA00BA" w:rsidRDefault="006F7F88" w:rsidP="008B6A7C">
      <w:pPr>
        <w:tabs>
          <w:tab w:val="left" w:pos="1170"/>
        </w:tabs>
        <w:jc w:val="both"/>
        <w:rPr>
          <w:b/>
          <w:sz w:val="24"/>
          <w:szCs w:val="24"/>
        </w:rPr>
      </w:pPr>
    </w:p>
    <w:p w:rsidR="004F0B4E" w:rsidRDefault="00F0780D" w:rsidP="00BA00BA">
      <w:pPr>
        <w:pStyle w:val="BodyTextIndent"/>
        <w:numPr>
          <w:ilvl w:val="0"/>
          <w:numId w:val="18"/>
        </w:numPr>
        <w:ind w:left="426" w:hanging="426"/>
        <w:rPr>
          <w:b/>
          <w:szCs w:val="24"/>
        </w:rPr>
      </w:pPr>
      <w:r>
        <w:rPr>
          <w:b/>
          <w:szCs w:val="24"/>
        </w:rPr>
        <w:t>Financial Liabilities</w:t>
      </w:r>
    </w:p>
    <w:p w:rsidR="00F0780D" w:rsidRPr="00BA00BA" w:rsidRDefault="00F0780D" w:rsidP="00124F98">
      <w:pPr>
        <w:tabs>
          <w:tab w:val="left" w:pos="1170"/>
        </w:tabs>
        <w:jc w:val="both"/>
        <w:rPr>
          <w:b/>
          <w:sz w:val="24"/>
          <w:szCs w:val="24"/>
        </w:rPr>
      </w:pPr>
    </w:p>
    <w:p w:rsidR="00BE257E" w:rsidRDefault="008E3FAD" w:rsidP="00BA00BA">
      <w:pPr>
        <w:pStyle w:val="BodyTextIndent"/>
        <w:tabs>
          <w:tab w:val="left" w:pos="8370"/>
        </w:tabs>
        <w:ind w:left="426" w:firstLine="0"/>
        <w:rPr>
          <w:color w:val="000000"/>
          <w:szCs w:val="24"/>
          <w:lang w:val="en-PH"/>
        </w:rPr>
      </w:pPr>
      <w:r>
        <w:t>This consists of:</w:t>
      </w:r>
    </w:p>
    <w:p w:rsidR="00DC62FD" w:rsidRPr="00BA00BA" w:rsidRDefault="00DC62FD" w:rsidP="0088161B">
      <w:pPr>
        <w:tabs>
          <w:tab w:val="left" w:pos="180"/>
          <w:tab w:val="left" w:pos="270"/>
        </w:tabs>
        <w:jc w:val="both"/>
        <w:rPr>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86"/>
      </w:tblGrid>
      <w:tr w:rsidR="00DC75E6" w:rsidRPr="00F21C4E" w:rsidTr="00BA00BA">
        <w:trPr>
          <w:trHeight w:val="115"/>
        </w:trPr>
        <w:tc>
          <w:tcPr>
            <w:tcW w:w="4680" w:type="dxa"/>
            <w:shd w:val="clear" w:color="auto" w:fill="auto"/>
            <w:noWrap/>
            <w:vAlign w:val="center"/>
            <w:hideMark/>
          </w:tcPr>
          <w:p w:rsidR="00DC75E6" w:rsidRPr="00F21C4E" w:rsidRDefault="00DC75E6" w:rsidP="00745FDE">
            <w:pPr>
              <w:ind w:left="360"/>
              <w:jc w:val="center"/>
              <w:rPr>
                <w:b/>
                <w:color w:val="000000"/>
                <w:sz w:val="22"/>
                <w:lang w:val="en-PH"/>
              </w:rPr>
            </w:pPr>
            <w:r w:rsidRPr="00F21C4E">
              <w:rPr>
                <w:b/>
                <w:bCs/>
                <w:color w:val="000000"/>
                <w:sz w:val="22"/>
                <w:lang w:val="en-PH"/>
              </w:rPr>
              <w:t>Account Title</w:t>
            </w:r>
          </w:p>
        </w:tc>
        <w:tc>
          <w:tcPr>
            <w:tcW w:w="1890" w:type="dxa"/>
            <w:shd w:val="clear" w:color="auto" w:fill="auto"/>
            <w:noWrap/>
            <w:vAlign w:val="center"/>
            <w:hideMark/>
          </w:tcPr>
          <w:p w:rsidR="00DC75E6" w:rsidRPr="00F21C4E" w:rsidRDefault="00DC75E6" w:rsidP="00745FDE">
            <w:pPr>
              <w:ind w:left="360"/>
              <w:jc w:val="center"/>
              <w:rPr>
                <w:b/>
                <w:color w:val="000000"/>
                <w:sz w:val="22"/>
                <w:lang w:val="en-PH"/>
              </w:rPr>
            </w:pPr>
            <w:r w:rsidRPr="00F21C4E">
              <w:rPr>
                <w:b/>
                <w:color w:val="000000"/>
                <w:sz w:val="22"/>
                <w:lang w:val="en-PH"/>
              </w:rPr>
              <w:t>2016</w:t>
            </w:r>
          </w:p>
        </w:tc>
        <w:tc>
          <w:tcPr>
            <w:tcW w:w="1710" w:type="dxa"/>
            <w:shd w:val="clear" w:color="auto" w:fill="auto"/>
            <w:noWrap/>
            <w:vAlign w:val="center"/>
            <w:hideMark/>
          </w:tcPr>
          <w:p w:rsidR="00DC75E6" w:rsidRPr="00F21C4E" w:rsidRDefault="00DC75E6" w:rsidP="00DC75E6">
            <w:pPr>
              <w:ind w:left="360"/>
              <w:rPr>
                <w:b/>
                <w:sz w:val="22"/>
              </w:rPr>
            </w:pPr>
            <w:r w:rsidRPr="00F21C4E">
              <w:rPr>
                <w:b/>
                <w:sz w:val="22"/>
              </w:rPr>
              <w:t>2015</w:t>
            </w:r>
          </w:p>
        </w:tc>
      </w:tr>
      <w:tr w:rsidR="00DC75E6" w:rsidRPr="00F21C4E" w:rsidTr="00991002">
        <w:trPr>
          <w:trHeight w:val="259"/>
        </w:trPr>
        <w:tc>
          <w:tcPr>
            <w:tcW w:w="4680" w:type="dxa"/>
            <w:shd w:val="clear" w:color="auto" w:fill="auto"/>
            <w:noWrap/>
            <w:vAlign w:val="center"/>
            <w:hideMark/>
          </w:tcPr>
          <w:p w:rsidR="00DC75E6" w:rsidRPr="00F21C4E" w:rsidRDefault="00DC75E6" w:rsidP="001F40F1">
            <w:pPr>
              <w:rPr>
                <w:color w:val="000000"/>
                <w:sz w:val="22"/>
                <w:lang w:val="en-PH"/>
              </w:rPr>
            </w:pPr>
            <w:r w:rsidRPr="00F21C4E">
              <w:rPr>
                <w:color w:val="000000"/>
                <w:sz w:val="22"/>
                <w:lang w:val="en-PH"/>
              </w:rPr>
              <w:t>Accounts Payable</w:t>
            </w:r>
          </w:p>
        </w:tc>
        <w:tc>
          <w:tcPr>
            <w:tcW w:w="1890" w:type="dxa"/>
            <w:shd w:val="clear" w:color="auto" w:fill="auto"/>
            <w:noWrap/>
            <w:vAlign w:val="center"/>
            <w:hideMark/>
          </w:tcPr>
          <w:p w:rsidR="00DC75E6" w:rsidRPr="00F21C4E" w:rsidRDefault="00DC75E6" w:rsidP="00745FDE">
            <w:pPr>
              <w:ind w:left="360"/>
              <w:jc w:val="right"/>
              <w:rPr>
                <w:color w:val="000000"/>
                <w:sz w:val="22"/>
                <w:lang w:val="en-PH"/>
              </w:rPr>
            </w:pPr>
            <w:r w:rsidRPr="00F21C4E">
              <w:rPr>
                <w:color w:val="000000"/>
                <w:sz w:val="22"/>
                <w:lang w:val="en-PH"/>
              </w:rPr>
              <w:t>1,513,273.82</w:t>
            </w:r>
          </w:p>
        </w:tc>
        <w:tc>
          <w:tcPr>
            <w:tcW w:w="1710" w:type="dxa"/>
            <w:shd w:val="clear" w:color="auto" w:fill="auto"/>
            <w:noWrap/>
            <w:vAlign w:val="bottom"/>
            <w:hideMark/>
          </w:tcPr>
          <w:p w:rsidR="00DC75E6" w:rsidRPr="00F21C4E" w:rsidRDefault="00DC75E6" w:rsidP="00745FDE">
            <w:pPr>
              <w:ind w:left="360"/>
              <w:jc w:val="right"/>
              <w:rPr>
                <w:color w:val="000000"/>
                <w:sz w:val="22"/>
                <w:lang w:val="en-PH"/>
              </w:rPr>
            </w:pPr>
            <w:r w:rsidRPr="00F21C4E">
              <w:rPr>
                <w:color w:val="000000"/>
                <w:sz w:val="22"/>
                <w:lang w:val="en-PH"/>
              </w:rPr>
              <w:t> 3,208,293.41</w:t>
            </w:r>
          </w:p>
        </w:tc>
      </w:tr>
      <w:tr w:rsidR="00DC75E6" w:rsidRPr="00F21C4E" w:rsidTr="00BA00BA">
        <w:trPr>
          <w:trHeight w:val="34"/>
        </w:trPr>
        <w:tc>
          <w:tcPr>
            <w:tcW w:w="4680" w:type="dxa"/>
            <w:shd w:val="clear" w:color="auto" w:fill="auto"/>
            <w:noWrap/>
            <w:vAlign w:val="center"/>
            <w:hideMark/>
          </w:tcPr>
          <w:p w:rsidR="00DC75E6" w:rsidRPr="00F21C4E" w:rsidRDefault="00DC75E6" w:rsidP="001F40F1">
            <w:pPr>
              <w:rPr>
                <w:color w:val="000000"/>
                <w:sz w:val="22"/>
                <w:lang w:val="en-PH"/>
              </w:rPr>
            </w:pPr>
            <w:r w:rsidRPr="00F21C4E">
              <w:rPr>
                <w:color w:val="000000"/>
                <w:sz w:val="22"/>
                <w:lang w:val="en-PH"/>
              </w:rPr>
              <w:t xml:space="preserve">Due to Officers </w:t>
            </w:r>
            <w:r w:rsidR="005B25C5" w:rsidRPr="00F21C4E">
              <w:rPr>
                <w:color w:val="000000"/>
                <w:sz w:val="22"/>
                <w:lang w:val="en-PH"/>
              </w:rPr>
              <w:t>and</w:t>
            </w:r>
            <w:r w:rsidRPr="00F21C4E">
              <w:rPr>
                <w:color w:val="000000"/>
                <w:sz w:val="22"/>
                <w:lang w:val="en-PH"/>
              </w:rPr>
              <w:t xml:space="preserve"> Employees</w:t>
            </w:r>
          </w:p>
        </w:tc>
        <w:tc>
          <w:tcPr>
            <w:tcW w:w="1890" w:type="dxa"/>
            <w:shd w:val="clear" w:color="auto" w:fill="auto"/>
            <w:noWrap/>
            <w:vAlign w:val="center"/>
            <w:hideMark/>
          </w:tcPr>
          <w:p w:rsidR="00DC75E6" w:rsidRPr="00F21C4E" w:rsidRDefault="00DC75E6" w:rsidP="00745FDE">
            <w:pPr>
              <w:ind w:left="360"/>
              <w:jc w:val="right"/>
              <w:rPr>
                <w:color w:val="000000"/>
                <w:sz w:val="22"/>
                <w:lang w:val="en-PH"/>
              </w:rPr>
            </w:pPr>
            <w:r w:rsidRPr="00F21C4E">
              <w:rPr>
                <w:color w:val="000000"/>
                <w:sz w:val="22"/>
                <w:lang w:val="en-PH"/>
              </w:rPr>
              <w:t> 2,406,222.06</w:t>
            </w:r>
          </w:p>
        </w:tc>
        <w:tc>
          <w:tcPr>
            <w:tcW w:w="1710" w:type="dxa"/>
            <w:shd w:val="clear" w:color="auto" w:fill="auto"/>
            <w:noWrap/>
            <w:vAlign w:val="center"/>
            <w:hideMark/>
          </w:tcPr>
          <w:p w:rsidR="00DC75E6" w:rsidRPr="00F21C4E" w:rsidRDefault="00DC75E6" w:rsidP="00745FDE">
            <w:pPr>
              <w:ind w:left="360"/>
              <w:jc w:val="right"/>
              <w:rPr>
                <w:color w:val="000000"/>
                <w:sz w:val="22"/>
                <w:lang w:val="en-PH"/>
              </w:rPr>
            </w:pPr>
            <w:r w:rsidRPr="00F21C4E">
              <w:rPr>
                <w:color w:val="000000"/>
                <w:sz w:val="22"/>
                <w:lang w:val="en-PH"/>
              </w:rPr>
              <w:t>4,159,912.88</w:t>
            </w:r>
          </w:p>
        </w:tc>
      </w:tr>
      <w:tr w:rsidR="00DC75E6" w:rsidRPr="00F21C4E" w:rsidTr="00BA00BA">
        <w:trPr>
          <w:trHeight w:val="169"/>
        </w:trPr>
        <w:tc>
          <w:tcPr>
            <w:tcW w:w="4680" w:type="dxa"/>
            <w:shd w:val="clear" w:color="auto" w:fill="auto"/>
            <w:noWrap/>
            <w:vAlign w:val="center"/>
            <w:hideMark/>
          </w:tcPr>
          <w:p w:rsidR="00DC75E6" w:rsidRPr="00F21C4E" w:rsidRDefault="00DC75E6" w:rsidP="001F40F1">
            <w:pPr>
              <w:rPr>
                <w:color w:val="000000"/>
                <w:sz w:val="22"/>
                <w:lang w:val="en-PH"/>
              </w:rPr>
            </w:pPr>
            <w:r w:rsidRPr="00F21C4E">
              <w:rPr>
                <w:b/>
                <w:bCs/>
                <w:color w:val="000000"/>
                <w:sz w:val="22"/>
                <w:lang w:val="en-PH"/>
              </w:rPr>
              <w:t xml:space="preserve">Total </w:t>
            </w:r>
          </w:p>
        </w:tc>
        <w:tc>
          <w:tcPr>
            <w:tcW w:w="1890" w:type="dxa"/>
            <w:shd w:val="clear" w:color="auto" w:fill="auto"/>
            <w:noWrap/>
            <w:vAlign w:val="center"/>
            <w:hideMark/>
          </w:tcPr>
          <w:p w:rsidR="00DC75E6" w:rsidRPr="00F21C4E" w:rsidRDefault="00DC75E6" w:rsidP="00745FDE">
            <w:pPr>
              <w:ind w:left="360"/>
              <w:jc w:val="right"/>
              <w:rPr>
                <w:b/>
                <w:color w:val="000000"/>
                <w:sz w:val="22"/>
                <w:lang w:val="en-PH"/>
              </w:rPr>
            </w:pPr>
            <w:r w:rsidRPr="00F21C4E">
              <w:rPr>
                <w:b/>
                <w:color w:val="000000"/>
                <w:sz w:val="22"/>
                <w:lang w:val="en-PH"/>
              </w:rPr>
              <w:t>3,919,495.88</w:t>
            </w:r>
          </w:p>
        </w:tc>
        <w:tc>
          <w:tcPr>
            <w:tcW w:w="1710" w:type="dxa"/>
            <w:shd w:val="clear" w:color="auto" w:fill="auto"/>
            <w:noWrap/>
            <w:vAlign w:val="bottom"/>
            <w:hideMark/>
          </w:tcPr>
          <w:p w:rsidR="00DC75E6" w:rsidRPr="00F21C4E" w:rsidRDefault="00DC75E6" w:rsidP="00745FDE">
            <w:pPr>
              <w:ind w:left="360"/>
              <w:jc w:val="right"/>
              <w:rPr>
                <w:b/>
                <w:color w:val="000000"/>
                <w:sz w:val="22"/>
                <w:lang w:val="en-PH"/>
              </w:rPr>
            </w:pPr>
            <w:r w:rsidRPr="00F21C4E">
              <w:rPr>
                <w:b/>
                <w:color w:val="000000"/>
                <w:sz w:val="22"/>
                <w:lang w:val="en-PH"/>
              </w:rPr>
              <w:t>7,368,206.29</w:t>
            </w:r>
          </w:p>
        </w:tc>
      </w:tr>
    </w:tbl>
    <w:p w:rsidR="00C85064" w:rsidRPr="00BA00BA" w:rsidRDefault="00C85064" w:rsidP="00745FDE">
      <w:pPr>
        <w:tabs>
          <w:tab w:val="left" w:pos="360"/>
          <w:tab w:val="left" w:pos="900"/>
        </w:tabs>
        <w:ind w:left="360"/>
        <w:jc w:val="both"/>
        <w:rPr>
          <w:b/>
          <w:sz w:val="24"/>
          <w:szCs w:val="24"/>
        </w:rPr>
      </w:pPr>
    </w:p>
    <w:p w:rsidR="00DC75E6" w:rsidRPr="00EC79D6" w:rsidRDefault="00DC75E6" w:rsidP="00BA00BA">
      <w:pPr>
        <w:pStyle w:val="BodyTextIndent"/>
        <w:tabs>
          <w:tab w:val="left" w:pos="8370"/>
        </w:tabs>
        <w:ind w:left="426" w:firstLine="0"/>
        <w:rPr>
          <w:szCs w:val="24"/>
        </w:rPr>
      </w:pPr>
      <w:r w:rsidRPr="00DC75E6">
        <w:rPr>
          <w:szCs w:val="24"/>
        </w:rPr>
        <w:t xml:space="preserve">Accounts payable </w:t>
      </w:r>
      <w:r>
        <w:rPr>
          <w:szCs w:val="24"/>
        </w:rPr>
        <w:t>consists of due to external payables while Due to Officers and Employees pertains to salaries yet to be paid to various officers and employees.</w:t>
      </w:r>
    </w:p>
    <w:p w:rsidR="00BA00BA" w:rsidRDefault="00BA00BA">
      <w:pPr>
        <w:rPr>
          <w:sz w:val="18"/>
          <w:szCs w:val="18"/>
        </w:rPr>
      </w:pPr>
      <w:r>
        <w:rPr>
          <w:sz w:val="18"/>
          <w:szCs w:val="18"/>
        </w:rPr>
        <w:br w:type="page"/>
      </w:r>
    </w:p>
    <w:p w:rsidR="00BA00BA" w:rsidRPr="00BA00BA" w:rsidRDefault="008A1C6E" w:rsidP="00BA00BA">
      <w:pPr>
        <w:pStyle w:val="BodyTextIndent"/>
        <w:numPr>
          <w:ilvl w:val="0"/>
          <w:numId w:val="18"/>
        </w:numPr>
        <w:ind w:left="426" w:hanging="426"/>
        <w:rPr>
          <w:b/>
          <w:szCs w:val="24"/>
        </w:rPr>
      </w:pPr>
      <w:r>
        <w:rPr>
          <w:b/>
          <w:szCs w:val="24"/>
        </w:rPr>
        <w:lastRenderedPageBreak/>
        <w:t>Inter</w:t>
      </w:r>
      <w:r w:rsidR="005F0B67">
        <w:rPr>
          <w:b/>
          <w:szCs w:val="24"/>
        </w:rPr>
        <w:t xml:space="preserve"> </w:t>
      </w:r>
      <w:r>
        <w:rPr>
          <w:b/>
          <w:szCs w:val="24"/>
        </w:rPr>
        <w:t>-</w:t>
      </w:r>
      <w:r w:rsidR="005F0B67">
        <w:rPr>
          <w:b/>
          <w:szCs w:val="24"/>
        </w:rPr>
        <w:t xml:space="preserve"> </w:t>
      </w:r>
      <w:r>
        <w:rPr>
          <w:b/>
          <w:szCs w:val="24"/>
        </w:rPr>
        <w:t>Agency Payables</w:t>
      </w:r>
      <w:r w:rsidR="00BA00BA" w:rsidRPr="00BA00BA">
        <w:t xml:space="preserve"> </w:t>
      </w:r>
    </w:p>
    <w:p w:rsidR="00BA00BA" w:rsidRDefault="00BA00BA" w:rsidP="00BA00BA">
      <w:pPr>
        <w:pStyle w:val="BodyTextIndent"/>
        <w:ind w:left="426" w:firstLine="0"/>
      </w:pPr>
    </w:p>
    <w:p w:rsidR="00C85B77" w:rsidRDefault="00BA00BA" w:rsidP="00BA00BA">
      <w:pPr>
        <w:pStyle w:val="BodyTextIndent"/>
        <w:ind w:left="426" w:firstLine="0"/>
        <w:rPr>
          <w:b/>
          <w:szCs w:val="24"/>
        </w:rPr>
      </w:pPr>
      <w:r>
        <w:t>This consists of the following accounts:</w:t>
      </w:r>
    </w:p>
    <w:p w:rsidR="00BA00BA" w:rsidRDefault="00BA00BA" w:rsidP="00BA00BA">
      <w:pPr>
        <w:ind w:left="360"/>
        <w:jc w:val="both"/>
        <w:rPr>
          <w:sz w:val="24"/>
        </w:rPr>
      </w:pPr>
    </w:p>
    <w:tbl>
      <w:tblPr>
        <w:tblpPr w:leftFromText="180" w:rightFromText="180" w:vertAnchor="text" w:horzAnchor="margin" w:tblpX="468" w:tblpY="-26"/>
        <w:tblW w:w="8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1890"/>
        <w:gridCol w:w="1781"/>
      </w:tblGrid>
      <w:tr w:rsidR="00A6416C" w:rsidRPr="00F21C4E" w:rsidTr="00BA00BA">
        <w:trPr>
          <w:trHeight w:val="259"/>
        </w:trPr>
        <w:tc>
          <w:tcPr>
            <w:tcW w:w="4698" w:type="dxa"/>
            <w:shd w:val="clear" w:color="auto" w:fill="auto"/>
            <w:vAlign w:val="center"/>
            <w:hideMark/>
          </w:tcPr>
          <w:p w:rsidR="00A6416C" w:rsidRPr="00F21C4E" w:rsidRDefault="00A6416C" w:rsidP="00BA00BA">
            <w:pPr>
              <w:ind w:left="360"/>
              <w:jc w:val="center"/>
              <w:rPr>
                <w:b/>
                <w:bCs/>
                <w:color w:val="000000"/>
                <w:sz w:val="22"/>
                <w:szCs w:val="22"/>
                <w:lang w:val="en-PH"/>
              </w:rPr>
            </w:pPr>
            <w:r w:rsidRPr="00F21C4E">
              <w:rPr>
                <w:b/>
                <w:bCs/>
                <w:color w:val="000000"/>
                <w:sz w:val="22"/>
                <w:szCs w:val="22"/>
                <w:lang w:val="en-PH"/>
              </w:rPr>
              <w:t>Account Title</w:t>
            </w:r>
          </w:p>
        </w:tc>
        <w:tc>
          <w:tcPr>
            <w:tcW w:w="1890" w:type="dxa"/>
            <w:shd w:val="clear" w:color="auto" w:fill="auto"/>
            <w:vAlign w:val="center"/>
            <w:hideMark/>
          </w:tcPr>
          <w:p w:rsidR="00A6416C" w:rsidRPr="00F21C4E" w:rsidRDefault="00A6416C" w:rsidP="00BA00BA">
            <w:pPr>
              <w:ind w:left="360"/>
              <w:jc w:val="center"/>
              <w:rPr>
                <w:b/>
                <w:bCs/>
                <w:color w:val="000000"/>
                <w:sz w:val="22"/>
                <w:szCs w:val="22"/>
                <w:lang w:val="en-PH"/>
              </w:rPr>
            </w:pPr>
            <w:r w:rsidRPr="00F21C4E">
              <w:rPr>
                <w:b/>
                <w:bCs/>
                <w:color w:val="000000"/>
                <w:sz w:val="22"/>
                <w:szCs w:val="22"/>
                <w:lang w:val="en-PH"/>
              </w:rPr>
              <w:t>2016</w:t>
            </w:r>
          </w:p>
        </w:tc>
        <w:tc>
          <w:tcPr>
            <w:tcW w:w="1781" w:type="dxa"/>
            <w:shd w:val="clear" w:color="auto" w:fill="auto"/>
            <w:noWrap/>
            <w:vAlign w:val="center"/>
            <w:hideMark/>
          </w:tcPr>
          <w:p w:rsidR="00A6416C" w:rsidRPr="00F21C4E" w:rsidRDefault="00A6416C" w:rsidP="00BA00BA">
            <w:pPr>
              <w:ind w:left="360"/>
              <w:jc w:val="center"/>
              <w:rPr>
                <w:b/>
                <w:bCs/>
                <w:color w:val="000000"/>
                <w:sz w:val="22"/>
                <w:szCs w:val="22"/>
                <w:lang w:val="en-PH"/>
              </w:rPr>
            </w:pPr>
            <w:r w:rsidRPr="00F21C4E">
              <w:rPr>
                <w:b/>
                <w:bCs/>
                <w:color w:val="000000"/>
                <w:sz w:val="22"/>
                <w:szCs w:val="22"/>
                <w:lang w:val="en-PH"/>
              </w:rPr>
              <w:t>2015</w:t>
            </w:r>
          </w:p>
        </w:tc>
      </w:tr>
      <w:tr w:rsidR="00A6416C" w:rsidRPr="00F21C4E" w:rsidTr="00BA00BA">
        <w:trPr>
          <w:trHeight w:val="259"/>
        </w:trPr>
        <w:tc>
          <w:tcPr>
            <w:tcW w:w="4698" w:type="dxa"/>
            <w:shd w:val="clear" w:color="auto" w:fill="auto"/>
            <w:noWrap/>
            <w:vAlign w:val="center"/>
            <w:hideMark/>
          </w:tcPr>
          <w:p w:rsidR="00A6416C" w:rsidRPr="001F40F1" w:rsidRDefault="00A6416C" w:rsidP="00BA00BA">
            <w:pPr>
              <w:rPr>
                <w:color w:val="000000"/>
                <w:sz w:val="22"/>
                <w:lang w:val="en-PH"/>
              </w:rPr>
            </w:pPr>
            <w:r w:rsidRPr="001F40F1">
              <w:rPr>
                <w:color w:val="000000"/>
                <w:sz w:val="22"/>
                <w:lang w:val="en-PH"/>
              </w:rPr>
              <w:t>Due to BIR</w:t>
            </w:r>
          </w:p>
        </w:tc>
        <w:tc>
          <w:tcPr>
            <w:tcW w:w="1890" w:type="dxa"/>
            <w:shd w:val="clear" w:color="auto" w:fill="auto"/>
            <w:noWrap/>
            <w:vAlign w:val="center"/>
            <w:hideMark/>
          </w:tcPr>
          <w:p w:rsidR="00A6416C" w:rsidRPr="00F21C4E" w:rsidRDefault="00A6416C" w:rsidP="00BA00BA">
            <w:pPr>
              <w:ind w:left="360"/>
              <w:jc w:val="right"/>
              <w:rPr>
                <w:color w:val="000000"/>
                <w:sz w:val="22"/>
                <w:szCs w:val="22"/>
                <w:lang w:val="en-PH"/>
              </w:rPr>
            </w:pPr>
            <w:r w:rsidRPr="00F21C4E">
              <w:rPr>
                <w:color w:val="000000"/>
                <w:sz w:val="22"/>
                <w:szCs w:val="22"/>
                <w:lang w:val="en-PH"/>
              </w:rPr>
              <w:t>1,059,604.51</w:t>
            </w:r>
          </w:p>
        </w:tc>
        <w:tc>
          <w:tcPr>
            <w:tcW w:w="1781" w:type="dxa"/>
            <w:shd w:val="clear" w:color="auto" w:fill="auto"/>
            <w:noWrap/>
            <w:vAlign w:val="center"/>
            <w:hideMark/>
          </w:tcPr>
          <w:p w:rsidR="00A6416C" w:rsidRPr="00F21C4E" w:rsidRDefault="00A6416C" w:rsidP="00BA00BA">
            <w:pPr>
              <w:ind w:left="360"/>
              <w:jc w:val="right"/>
              <w:rPr>
                <w:rFonts w:ascii="Calibri" w:hAnsi="Calibri"/>
                <w:color w:val="000000"/>
                <w:sz w:val="22"/>
                <w:szCs w:val="22"/>
                <w:lang w:val="en-PH"/>
              </w:rPr>
            </w:pPr>
            <w:r w:rsidRPr="00F21C4E">
              <w:rPr>
                <w:bCs/>
                <w:color w:val="000000"/>
                <w:sz w:val="22"/>
                <w:szCs w:val="22"/>
              </w:rPr>
              <w:t>1,796,255.67</w:t>
            </w:r>
          </w:p>
        </w:tc>
      </w:tr>
      <w:tr w:rsidR="00A6416C" w:rsidRPr="00F21C4E" w:rsidTr="00BA00BA">
        <w:trPr>
          <w:trHeight w:val="259"/>
        </w:trPr>
        <w:tc>
          <w:tcPr>
            <w:tcW w:w="4698" w:type="dxa"/>
            <w:shd w:val="clear" w:color="auto" w:fill="auto"/>
            <w:noWrap/>
            <w:vAlign w:val="center"/>
            <w:hideMark/>
          </w:tcPr>
          <w:p w:rsidR="00A6416C" w:rsidRPr="001F40F1" w:rsidRDefault="00A6416C" w:rsidP="00BA00BA">
            <w:pPr>
              <w:rPr>
                <w:color w:val="000000"/>
                <w:sz w:val="22"/>
                <w:lang w:val="en-PH"/>
              </w:rPr>
            </w:pPr>
            <w:r w:rsidRPr="001F40F1">
              <w:rPr>
                <w:color w:val="000000"/>
                <w:sz w:val="22"/>
                <w:lang w:val="en-PH"/>
              </w:rPr>
              <w:t>Due to GSIS</w:t>
            </w:r>
          </w:p>
        </w:tc>
        <w:tc>
          <w:tcPr>
            <w:tcW w:w="1890" w:type="dxa"/>
            <w:shd w:val="clear" w:color="auto" w:fill="auto"/>
            <w:noWrap/>
            <w:vAlign w:val="center"/>
            <w:hideMark/>
          </w:tcPr>
          <w:p w:rsidR="00A6416C" w:rsidRPr="00F21C4E" w:rsidRDefault="00A6416C" w:rsidP="00BA00BA">
            <w:pPr>
              <w:ind w:left="360"/>
              <w:jc w:val="right"/>
              <w:rPr>
                <w:color w:val="000000"/>
                <w:sz w:val="22"/>
                <w:szCs w:val="22"/>
                <w:lang w:val="en-PH"/>
              </w:rPr>
            </w:pPr>
            <w:r w:rsidRPr="00F21C4E">
              <w:rPr>
                <w:color w:val="000000"/>
                <w:sz w:val="22"/>
                <w:szCs w:val="22"/>
                <w:lang w:val="en-PH"/>
              </w:rPr>
              <w:t>-</w:t>
            </w:r>
          </w:p>
        </w:tc>
        <w:tc>
          <w:tcPr>
            <w:tcW w:w="1781" w:type="dxa"/>
            <w:shd w:val="clear" w:color="auto" w:fill="auto"/>
            <w:noWrap/>
            <w:vAlign w:val="center"/>
            <w:hideMark/>
          </w:tcPr>
          <w:p w:rsidR="00A6416C" w:rsidRPr="00F21C4E" w:rsidRDefault="00A6416C" w:rsidP="00BA00BA">
            <w:pPr>
              <w:ind w:left="360"/>
              <w:jc w:val="right"/>
              <w:rPr>
                <w:rFonts w:ascii="Calibri" w:hAnsi="Calibri"/>
                <w:color w:val="000000"/>
                <w:sz w:val="22"/>
                <w:szCs w:val="22"/>
                <w:lang w:val="en-PH"/>
              </w:rPr>
            </w:pPr>
            <w:r w:rsidRPr="00F21C4E">
              <w:rPr>
                <w:rFonts w:ascii="Calibri" w:hAnsi="Calibri"/>
                <w:color w:val="000000"/>
                <w:sz w:val="22"/>
                <w:szCs w:val="22"/>
                <w:lang w:val="en-PH"/>
              </w:rPr>
              <w:t> </w:t>
            </w:r>
            <w:r w:rsidRPr="00F21C4E">
              <w:rPr>
                <w:bCs/>
                <w:color w:val="000000"/>
                <w:sz w:val="22"/>
                <w:szCs w:val="22"/>
              </w:rPr>
              <w:t>140,691.92</w:t>
            </w:r>
          </w:p>
        </w:tc>
      </w:tr>
      <w:tr w:rsidR="00A6416C" w:rsidRPr="00F21C4E" w:rsidTr="00BA00BA">
        <w:trPr>
          <w:trHeight w:val="259"/>
        </w:trPr>
        <w:tc>
          <w:tcPr>
            <w:tcW w:w="4698" w:type="dxa"/>
            <w:shd w:val="clear" w:color="auto" w:fill="auto"/>
            <w:noWrap/>
            <w:vAlign w:val="center"/>
            <w:hideMark/>
          </w:tcPr>
          <w:p w:rsidR="00A6416C" w:rsidRPr="001F40F1" w:rsidRDefault="00A6416C" w:rsidP="00BA00BA">
            <w:pPr>
              <w:rPr>
                <w:color w:val="000000"/>
                <w:sz w:val="22"/>
                <w:lang w:val="en-PH"/>
              </w:rPr>
            </w:pPr>
            <w:r w:rsidRPr="001F40F1">
              <w:rPr>
                <w:color w:val="000000"/>
                <w:sz w:val="22"/>
                <w:lang w:val="en-PH"/>
              </w:rPr>
              <w:t xml:space="preserve">Due to </w:t>
            </w:r>
            <w:proofErr w:type="spellStart"/>
            <w:r w:rsidRPr="001F40F1">
              <w:rPr>
                <w:color w:val="000000"/>
                <w:sz w:val="22"/>
                <w:lang w:val="en-PH"/>
              </w:rPr>
              <w:t>Pag</w:t>
            </w:r>
            <w:proofErr w:type="spellEnd"/>
            <w:r w:rsidRPr="001F40F1">
              <w:rPr>
                <w:color w:val="000000"/>
                <w:sz w:val="22"/>
                <w:lang w:val="en-PH"/>
              </w:rPr>
              <w:t>-IBIG</w:t>
            </w:r>
          </w:p>
        </w:tc>
        <w:tc>
          <w:tcPr>
            <w:tcW w:w="1890" w:type="dxa"/>
            <w:shd w:val="clear" w:color="auto" w:fill="auto"/>
            <w:noWrap/>
            <w:vAlign w:val="center"/>
            <w:hideMark/>
          </w:tcPr>
          <w:p w:rsidR="00A6416C" w:rsidRPr="00F21C4E" w:rsidRDefault="00A6416C" w:rsidP="00BA00BA">
            <w:pPr>
              <w:ind w:left="360"/>
              <w:jc w:val="right"/>
              <w:rPr>
                <w:color w:val="000000"/>
                <w:sz w:val="22"/>
                <w:szCs w:val="22"/>
                <w:lang w:val="en-PH"/>
              </w:rPr>
            </w:pPr>
            <w:r w:rsidRPr="00F21C4E">
              <w:rPr>
                <w:color w:val="000000"/>
                <w:sz w:val="22"/>
                <w:szCs w:val="22"/>
                <w:lang w:val="en-PH"/>
              </w:rPr>
              <w:t> 9,293.38</w:t>
            </w:r>
          </w:p>
        </w:tc>
        <w:tc>
          <w:tcPr>
            <w:tcW w:w="1781" w:type="dxa"/>
            <w:shd w:val="clear" w:color="auto" w:fill="auto"/>
            <w:noWrap/>
            <w:vAlign w:val="center"/>
            <w:hideMark/>
          </w:tcPr>
          <w:p w:rsidR="00A6416C" w:rsidRPr="00F21C4E" w:rsidRDefault="00A6416C" w:rsidP="00BA00BA">
            <w:pPr>
              <w:ind w:left="360"/>
              <w:jc w:val="right"/>
              <w:rPr>
                <w:rFonts w:ascii="Calibri" w:hAnsi="Calibri"/>
                <w:color w:val="000000"/>
                <w:sz w:val="22"/>
                <w:szCs w:val="22"/>
                <w:lang w:val="en-PH"/>
              </w:rPr>
            </w:pPr>
            <w:r w:rsidRPr="00F21C4E">
              <w:rPr>
                <w:rFonts w:ascii="Calibri" w:hAnsi="Calibri"/>
                <w:color w:val="000000"/>
                <w:sz w:val="22"/>
                <w:szCs w:val="22"/>
                <w:lang w:val="en-PH"/>
              </w:rPr>
              <w:t> </w:t>
            </w:r>
            <w:r w:rsidRPr="00F21C4E">
              <w:rPr>
                <w:bCs/>
                <w:color w:val="000000"/>
                <w:sz w:val="22"/>
                <w:szCs w:val="22"/>
              </w:rPr>
              <w:t>5,841.47</w:t>
            </w:r>
          </w:p>
        </w:tc>
      </w:tr>
      <w:tr w:rsidR="00A6416C" w:rsidRPr="00F21C4E" w:rsidTr="00BA00BA">
        <w:trPr>
          <w:trHeight w:val="259"/>
        </w:trPr>
        <w:tc>
          <w:tcPr>
            <w:tcW w:w="4698" w:type="dxa"/>
            <w:shd w:val="clear" w:color="auto" w:fill="auto"/>
            <w:noWrap/>
            <w:vAlign w:val="center"/>
            <w:hideMark/>
          </w:tcPr>
          <w:p w:rsidR="00A6416C" w:rsidRPr="001F40F1" w:rsidRDefault="005A28F8" w:rsidP="001F40F1">
            <w:pPr>
              <w:rPr>
                <w:color w:val="000000"/>
                <w:sz w:val="22"/>
                <w:lang w:val="en-PH"/>
              </w:rPr>
            </w:pPr>
            <w:r w:rsidRPr="001F40F1">
              <w:rPr>
                <w:color w:val="000000"/>
                <w:sz w:val="22"/>
                <w:lang w:val="en-PH"/>
              </w:rPr>
              <w:t xml:space="preserve">Due to </w:t>
            </w:r>
            <w:proofErr w:type="spellStart"/>
            <w:r w:rsidRPr="001F40F1">
              <w:rPr>
                <w:color w:val="000000"/>
                <w:sz w:val="22"/>
                <w:lang w:val="en-PH"/>
              </w:rPr>
              <w:t>Phil</w:t>
            </w:r>
            <w:r w:rsidR="00A6416C" w:rsidRPr="001F40F1">
              <w:rPr>
                <w:color w:val="000000"/>
                <w:sz w:val="22"/>
                <w:lang w:val="en-PH"/>
              </w:rPr>
              <w:t>Health</w:t>
            </w:r>
            <w:proofErr w:type="spellEnd"/>
          </w:p>
        </w:tc>
        <w:tc>
          <w:tcPr>
            <w:tcW w:w="1890" w:type="dxa"/>
            <w:shd w:val="clear" w:color="auto" w:fill="auto"/>
            <w:noWrap/>
            <w:vAlign w:val="center"/>
            <w:hideMark/>
          </w:tcPr>
          <w:p w:rsidR="00A6416C" w:rsidRPr="00F21C4E" w:rsidRDefault="00A6416C" w:rsidP="00F21C4E">
            <w:pPr>
              <w:ind w:left="360"/>
              <w:jc w:val="right"/>
              <w:rPr>
                <w:color w:val="000000"/>
                <w:sz w:val="22"/>
                <w:szCs w:val="22"/>
                <w:lang w:val="en-PH"/>
              </w:rPr>
            </w:pPr>
            <w:r w:rsidRPr="00F21C4E">
              <w:rPr>
                <w:color w:val="000000"/>
                <w:sz w:val="22"/>
                <w:szCs w:val="22"/>
                <w:lang w:val="en-PH"/>
              </w:rPr>
              <w:t> 1,702.38</w:t>
            </w:r>
          </w:p>
        </w:tc>
        <w:tc>
          <w:tcPr>
            <w:tcW w:w="1781" w:type="dxa"/>
            <w:shd w:val="clear" w:color="auto" w:fill="auto"/>
            <w:noWrap/>
            <w:vAlign w:val="center"/>
            <w:hideMark/>
          </w:tcPr>
          <w:p w:rsidR="00A6416C" w:rsidRPr="00F21C4E" w:rsidRDefault="00A6416C" w:rsidP="00F21C4E">
            <w:pPr>
              <w:ind w:left="360"/>
              <w:jc w:val="right"/>
              <w:rPr>
                <w:rFonts w:ascii="Calibri" w:hAnsi="Calibri"/>
                <w:color w:val="000000"/>
                <w:sz w:val="22"/>
                <w:szCs w:val="22"/>
                <w:lang w:val="en-PH"/>
              </w:rPr>
            </w:pPr>
            <w:r w:rsidRPr="00F21C4E">
              <w:rPr>
                <w:bCs/>
                <w:color w:val="000000"/>
                <w:sz w:val="22"/>
                <w:szCs w:val="22"/>
              </w:rPr>
              <w:t>14,675.00</w:t>
            </w:r>
          </w:p>
        </w:tc>
      </w:tr>
      <w:tr w:rsidR="00A6416C" w:rsidRPr="00F21C4E" w:rsidTr="00BA00BA">
        <w:trPr>
          <w:trHeight w:val="259"/>
        </w:trPr>
        <w:tc>
          <w:tcPr>
            <w:tcW w:w="4698" w:type="dxa"/>
            <w:shd w:val="clear" w:color="auto" w:fill="auto"/>
            <w:noWrap/>
            <w:vAlign w:val="center"/>
            <w:hideMark/>
          </w:tcPr>
          <w:p w:rsidR="00A6416C" w:rsidRPr="001F40F1" w:rsidRDefault="005A28F8" w:rsidP="001F40F1">
            <w:pPr>
              <w:rPr>
                <w:color w:val="000000"/>
                <w:sz w:val="22"/>
                <w:lang w:val="en-PH"/>
              </w:rPr>
            </w:pPr>
            <w:r w:rsidRPr="001F40F1">
              <w:rPr>
                <w:color w:val="000000"/>
                <w:sz w:val="22"/>
                <w:lang w:val="en-PH"/>
              </w:rPr>
              <w:t>Due to NGAs</w:t>
            </w:r>
          </w:p>
        </w:tc>
        <w:tc>
          <w:tcPr>
            <w:tcW w:w="1890" w:type="dxa"/>
            <w:shd w:val="clear" w:color="auto" w:fill="auto"/>
            <w:noWrap/>
            <w:vAlign w:val="center"/>
            <w:hideMark/>
          </w:tcPr>
          <w:p w:rsidR="00A6416C" w:rsidRPr="00F21C4E" w:rsidRDefault="00A6416C" w:rsidP="00F21C4E">
            <w:pPr>
              <w:ind w:left="360"/>
              <w:jc w:val="right"/>
              <w:rPr>
                <w:color w:val="000000"/>
                <w:sz w:val="22"/>
                <w:szCs w:val="22"/>
                <w:lang w:val="en-PH"/>
              </w:rPr>
            </w:pPr>
            <w:r w:rsidRPr="00F21C4E">
              <w:rPr>
                <w:color w:val="000000"/>
                <w:sz w:val="22"/>
                <w:szCs w:val="22"/>
                <w:lang w:val="en-PH"/>
              </w:rPr>
              <w:t> 1,700,000.00</w:t>
            </w:r>
          </w:p>
        </w:tc>
        <w:tc>
          <w:tcPr>
            <w:tcW w:w="1781" w:type="dxa"/>
            <w:shd w:val="clear" w:color="auto" w:fill="auto"/>
            <w:noWrap/>
            <w:vAlign w:val="center"/>
            <w:hideMark/>
          </w:tcPr>
          <w:p w:rsidR="00A6416C" w:rsidRPr="00F21C4E" w:rsidRDefault="00A6416C" w:rsidP="00F21C4E">
            <w:pPr>
              <w:ind w:left="360"/>
              <w:jc w:val="right"/>
              <w:rPr>
                <w:rFonts w:ascii="Calibri" w:hAnsi="Calibri"/>
                <w:color w:val="000000"/>
                <w:sz w:val="22"/>
                <w:szCs w:val="22"/>
                <w:lang w:val="en-PH"/>
              </w:rPr>
            </w:pPr>
            <w:r w:rsidRPr="00F21C4E">
              <w:rPr>
                <w:rFonts w:ascii="Calibri" w:hAnsi="Calibri"/>
                <w:color w:val="000000"/>
                <w:sz w:val="22"/>
                <w:szCs w:val="22"/>
                <w:lang w:val="en-PH"/>
              </w:rPr>
              <w:t> </w:t>
            </w:r>
            <w:r w:rsidRPr="00F21C4E">
              <w:rPr>
                <w:bCs/>
                <w:color w:val="000000"/>
                <w:sz w:val="22"/>
                <w:szCs w:val="22"/>
              </w:rPr>
              <w:t>1,700,000.00</w:t>
            </w:r>
          </w:p>
        </w:tc>
      </w:tr>
      <w:tr w:rsidR="00A6416C" w:rsidRPr="00F21C4E" w:rsidTr="00BA00BA">
        <w:trPr>
          <w:trHeight w:val="259"/>
        </w:trPr>
        <w:tc>
          <w:tcPr>
            <w:tcW w:w="4698" w:type="dxa"/>
            <w:shd w:val="clear" w:color="auto" w:fill="auto"/>
            <w:noWrap/>
            <w:vAlign w:val="center"/>
            <w:hideMark/>
          </w:tcPr>
          <w:p w:rsidR="00A6416C" w:rsidRPr="00F21C4E" w:rsidRDefault="00A6416C" w:rsidP="001F40F1">
            <w:pPr>
              <w:rPr>
                <w:b/>
                <w:bCs/>
                <w:color w:val="000000"/>
                <w:sz w:val="22"/>
                <w:szCs w:val="22"/>
                <w:lang w:val="en-PH"/>
              </w:rPr>
            </w:pPr>
            <w:r w:rsidRPr="001F40F1">
              <w:rPr>
                <w:b/>
                <w:bCs/>
                <w:color w:val="000000"/>
                <w:sz w:val="22"/>
                <w:lang w:val="en-PH"/>
              </w:rPr>
              <w:t xml:space="preserve">Total </w:t>
            </w:r>
          </w:p>
        </w:tc>
        <w:tc>
          <w:tcPr>
            <w:tcW w:w="1890" w:type="dxa"/>
            <w:shd w:val="clear" w:color="auto" w:fill="auto"/>
            <w:noWrap/>
            <w:vAlign w:val="center"/>
            <w:hideMark/>
          </w:tcPr>
          <w:p w:rsidR="00A6416C" w:rsidRPr="00F21C4E" w:rsidRDefault="00A6416C" w:rsidP="00F21C4E">
            <w:pPr>
              <w:ind w:left="360"/>
              <w:jc w:val="right"/>
              <w:rPr>
                <w:b/>
                <w:color w:val="000000"/>
                <w:sz w:val="22"/>
                <w:szCs w:val="22"/>
                <w:lang w:val="en-PH"/>
              </w:rPr>
            </w:pPr>
            <w:r w:rsidRPr="00F21C4E">
              <w:rPr>
                <w:b/>
                <w:color w:val="000000"/>
                <w:sz w:val="22"/>
                <w:szCs w:val="22"/>
                <w:lang w:val="en-PH"/>
              </w:rPr>
              <w:t>2,770,600.27</w:t>
            </w:r>
          </w:p>
        </w:tc>
        <w:tc>
          <w:tcPr>
            <w:tcW w:w="1781" w:type="dxa"/>
            <w:shd w:val="clear" w:color="auto" w:fill="auto"/>
            <w:noWrap/>
            <w:vAlign w:val="center"/>
            <w:hideMark/>
          </w:tcPr>
          <w:p w:rsidR="00A6416C" w:rsidRPr="00F21C4E" w:rsidRDefault="00A6416C" w:rsidP="00F21C4E">
            <w:pPr>
              <w:ind w:left="360"/>
              <w:jc w:val="right"/>
              <w:rPr>
                <w:rFonts w:ascii="Calibri" w:hAnsi="Calibri"/>
                <w:b/>
                <w:color w:val="000000"/>
                <w:sz w:val="22"/>
                <w:szCs w:val="22"/>
                <w:lang w:val="en-PH"/>
              </w:rPr>
            </w:pPr>
            <w:r w:rsidRPr="00F21C4E">
              <w:rPr>
                <w:b/>
                <w:color w:val="000000"/>
                <w:sz w:val="22"/>
                <w:szCs w:val="22"/>
                <w:lang w:val="en-PH"/>
              </w:rPr>
              <w:t>3,657,464.06</w:t>
            </w:r>
          </w:p>
        </w:tc>
      </w:tr>
    </w:tbl>
    <w:p w:rsidR="00EC79D6" w:rsidRDefault="00EC79D6" w:rsidP="00BA00BA">
      <w:pPr>
        <w:pStyle w:val="BodyTextIndent"/>
        <w:numPr>
          <w:ilvl w:val="0"/>
          <w:numId w:val="18"/>
        </w:numPr>
        <w:ind w:left="426" w:hanging="426"/>
        <w:rPr>
          <w:b/>
          <w:szCs w:val="24"/>
        </w:rPr>
      </w:pPr>
      <w:r>
        <w:rPr>
          <w:b/>
          <w:szCs w:val="24"/>
        </w:rPr>
        <w:t>Other – Payables</w:t>
      </w:r>
    </w:p>
    <w:p w:rsidR="00EC79D6" w:rsidRDefault="00EC79D6" w:rsidP="00EC79D6">
      <w:pPr>
        <w:tabs>
          <w:tab w:val="left" w:pos="360"/>
          <w:tab w:val="left" w:pos="900"/>
        </w:tabs>
        <w:jc w:val="both"/>
        <w:rPr>
          <w:b/>
          <w:sz w:val="24"/>
          <w:szCs w:val="24"/>
        </w:rPr>
      </w:pPr>
    </w:p>
    <w:p w:rsidR="00EC79D6" w:rsidRDefault="00EC79D6" w:rsidP="00EC79D6">
      <w:pPr>
        <w:ind w:left="426"/>
        <w:jc w:val="both"/>
        <w:rPr>
          <w:sz w:val="24"/>
          <w:szCs w:val="24"/>
        </w:rPr>
      </w:pPr>
      <w:r>
        <w:rPr>
          <w:sz w:val="24"/>
          <w:szCs w:val="24"/>
        </w:rPr>
        <w:t>The account Other P</w:t>
      </w:r>
      <w:r w:rsidRPr="00C672D5">
        <w:rPr>
          <w:sz w:val="24"/>
          <w:szCs w:val="24"/>
        </w:rPr>
        <w:t>ayable</w:t>
      </w:r>
      <w:r>
        <w:rPr>
          <w:sz w:val="24"/>
          <w:szCs w:val="24"/>
        </w:rPr>
        <w:t>s</w:t>
      </w:r>
      <w:r w:rsidR="00A010EE">
        <w:rPr>
          <w:sz w:val="24"/>
          <w:szCs w:val="24"/>
        </w:rPr>
        <w:t xml:space="preserve"> </w:t>
      </w:r>
      <w:r>
        <w:rPr>
          <w:sz w:val="24"/>
          <w:szCs w:val="24"/>
        </w:rPr>
        <w:t xml:space="preserve">in the amount of </w:t>
      </w:r>
      <w:r w:rsidRPr="00A93631">
        <w:rPr>
          <w:sz w:val="24"/>
          <w:szCs w:val="24"/>
        </w:rPr>
        <w:t>₱</w:t>
      </w:r>
      <w:r>
        <w:rPr>
          <w:sz w:val="24"/>
          <w:szCs w:val="24"/>
        </w:rPr>
        <w:t xml:space="preserve">194,320.24 and </w:t>
      </w:r>
      <w:r w:rsidRPr="00A93631">
        <w:rPr>
          <w:sz w:val="24"/>
          <w:szCs w:val="24"/>
        </w:rPr>
        <w:t>₱</w:t>
      </w:r>
      <w:r>
        <w:rPr>
          <w:sz w:val="24"/>
          <w:szCs w:val="24"/>
        </w:rPr>
        <w:t xml:space="preserve">118,033.64 in CYs 2016 and 2015, respectively, </w:t>
      </w:r>
      <w:r w:rsidRPr="00C672D5">
        <w:rPr>
          <w:sz w:val="24"/>
          <w:szCs w:val="24"/>
        </w:rPr>
        <w:t xml:space="preserve">refers to </w:t>
      </w:r>
      <w:r>
        <w:rPr>
          <w:sz w:val="24"/>
          <w:szCs w:val="24"/>
        </w:rPr>
        <w:t>balance due for remittance to the College’s accredited employees’ association from membership dues and loan repayments.</w:t>
      </w:r>
    </w:p>
    <w:p w:rsidR="00EC79D6" w:rsidRDefault="00EC79D6" w:rsidP="00EC79D6">
      <w:pPr>
        <w:pStyle w:val="BodyTextIndent"/>
        <w:ind w:firstLine="0"/>
        <w:rPr>
          <w:b/>
        </w:rPr>
      </w:pPr>
    </w:p>
    <w:p w:rsidR="00A6416C" w:rsidRDefault="00A6416C" w:rsidP="00A010EE">
      <w:pPr>
        <w:pStyle w:val="BodyTextIndent"/>
        <w:numPr>
          <w:ilvl w:val="0"/>
          <w:numId w:val="18"/>
        </w:numPr>
        <w:ind w:left="426" w:hanging="426"/>
        <w:rPr>
          <w:b/>
        </w:rPr>
      </w:pPr>
      <w:r>
        <w:rPr>
          <w:b/>
        </w:rPr>
        <w:t>Service and Business Income</w:t>
      </w:r>
    </w:p>
    <w:p w:rsidR="00A6416C" w:rsidRDefault="00A6416C" w:rsidP="00124F98">
      <w:pPr>
        <w:tabs>
          <w:tab w:val="left" w:pos="360"/>
        </w:tabs>
        <w:ind w:left="360"/>
        <w:jc w:val="both"/>
        <w:rPr>
          <w:sz w:val="24"/>
        </w:rPr>
      </w:pPr>
    </w:p>
    <w:p w:rsidR="00BE0883" w:rsidRDefault="00BE0883" w:rsidP="00A010EE">
      <w:pPr>
        <w:ind w:left="426"/>
        <w:jc w:val="both"/>
        <w:rPr>
          <w:sz w:val="24"/>
        </w:rPr>
      </w:pPr>
      <w:r>
        <w:rPr>
          <w:sz w:val="24"/>
        </w:rPr>
        <w:t>The breakdown of this income account is shown as follows:</w:t>
      </w:r>
    </w:p>
    <w:p w:rsidR="00BE0883" w:rsidRDefault="00BE0883" w:rsidP="00124F98">
      <w:pPr>
        <w:pStyle w:val="BodyTextIndent"/>
        <w:tabs>
          <w:tab w:val="left" w:pos="360"/>
          <w:tab w:val="left" w:pos="450"/>
        </w:tabs>
        <w:ind w:left="0" w:firstLine="0"/>
        <w:rPr>
          <w:b/>
        </w:rPr>
      </w:pPr>
    </w:p>
    <w:tbl>
      <w:tblPr>
        <w:tblpPr w:leftFromText="180" w:rightFromText="180" w:vertAnchor="text" w:horzAnchor="margin" w:tblpX="468" w:tblpY="69"/>
        <w:tblW w:w="82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8"/>
        <w:gridCol w:w="1890"/>
        <w:gridCol w:w="1710"/>
      </w:tblGrid>
      <w:tr w:rsidR="00A6416C" w:rsidRPr="001F40F1" w:rsidTr="00991002">
        <w:trPr>
          <w:trHeight w:val="259"/>
        </w:trPr>
        <w:tc>
          <w:tcPr>
            <w:tcW w:w="4698" w:type="dxa"/>
            <w:shd w:val="clear" w:color="auto" w:fill="auto"/>
            <w:noWrap/>
            <w:vAlign w:val="center"/>
            <w:hideMark/>
          </w:tcPr>
          <w:p w:rsidR="00A6416C" w:rsidRPr="001F40F1" w:rsidRDefault="00A6416C" w:rsidP="00991002">
            <w:pPr>
              <w:jc w:val="center"/>
              <w:rPr>
                <w:b/>
                <w:bCs/>
                <w:color w:val="000000"/>
                <w:sz w:val="22"/>
                <w:lang w:val="en-PH"/>
              </w:rPr>
            </w:pPr>
            <w:r w:rsidRPr="001F40F1">
              <w:rPr>
                <w:b/>
                <w:bCs/>
                <w:color w:val="000000"/>
                <w:sz w:val="22"/>
                <w:lang w:val="en-PH"/>
              </w:rPr>
              <w:t>Account Title</w:t>
            </w:r>
          </w:p>
        </w:tc>
        <w:tc>
          <w:tcPr>
            <w:tcW w:w="1890" w:type="dxa"/>
            <w:shd w:val="clear" w:color="auto" w:fill="auto"/>
            <w:noWrap/>
            <w:vAlign w:val="center"/>
            <w:hideMark/>
          </w:tcPr>
          <w:p w:rsidR="00A6416C" w:rsidRPr="001F40F1" w:rsidRDefault="00A6416C" w:rsidP="00991002">
            <w:pPr>
              <w:jc w:val="center"/>
              <w:rPr>
                <w:b/>
                <w:bCs/>
                <w:color w:val="000000"/>
                <w:sz w:val="22"/>
                <w:lang w:val="en-PH"/>
              </w:rPr>
            </w:pPr>
            <w:r w:rsidRPr="001F40F1">
              <w:rPr>
                <w:b/>
                <w:bCs/>
                <w:color w:val="000000"/>
                <w:sz w:val="22"/>
                <w:lang w:val="en-PH"/>
              </w:rPr>
              <w:t>2016</w:t>
            </w:r>
          </w:p>
        </w:tc>
        <w:tc>
          <w:tcPr>
            <w:tcW w:w="1710" w:type="dxa"/>
            <w:shd w:val="clear" w:color="auto" w:fill="auto"/>
            <w:noWrap/>
            <w:vAlign w:val="center"/>
            <w:hideMark/>
          </w:tcPr>
          <w:p w:rsidR="00A6416C" w:rsidRPr="001F40F1" w:rsidRDefault="00A6416C" w:rsidP="00991002">
            <w:pPr>
              <w:jc w:val="center"/>
              <w:rPr>
                <w:b/>
                <w:bCs/>
                <w:color w:val="000000"/>
                <w:sz w:val="22"/>
                <w:lang w:val="en-PH"/>
              </w:rPr>
            </w:pPr>
            <w:r w:rsidRPr="001F40F1">
              <w:rPr>
                <w:b/>
                <w:bCs/>
                <w:color w:val="000000"/>
                <w:sz w:val="22"/>
                <w:lang w:val="en-PH"/>
              </w:rPr>
              <w:t>2015</w:t>
            </w:r>
          </w:p>
        </w:tc>
      </w:tr>
      <w:tr w:rsidR="00A6416C" w:rsidRPr="001F40F1" w:rsidTr="00991002">
        <w:trPr>
          <w:trHeight w:val="259"/>
        </w:trPr>
        <w:tc>
          <w:tcPr>
            <w:tcW w:w="4698" w:type="dxa"/>
            <w:shd w:val="clear" w:color="auto" w:fill="auto"/>
            <w:noWrap/>
            <w:vAlign w:val="center"/>
            <w:hideMark/>
          </w:tcPr>
          <w:p w:rsidR="00A6416C" w:rsidRPr="001F40F1" w:rsidRDefault="00A6416C" w:rsidP="00991002">
            <w:pPr>
              <w:rPr>
                <w:b/>
                <w:bCs/>
                <w:color w:val="000000"/>
                <w:sz w:val="22"/>
                <w:lang w:val="en-PH"/>
              </w:rPr>
            </w:pPr>
            <w:r w:rsidRPr="001F40F1">
              <w:rPr>
                <w:b/>
                <w:bCs/>
                <w:color w:val="000000"/>
                <w:sz w:val="22"/>
                <w:lang w:val="en-PH"/>
              </w:rPr>
              <w:t>Business Income</w:t>
            </w:r>
          </w:p>
        </w:tc>
        <w:tc>
          <w:tcPr>
            <w:tcW w:w="1890" w:type="dxa"/>
            <w:shd w:val="clear" w:color="auto" w:fill="auto"/>
            <w:noWrap/>
            <w:vAlign w:val="bottom"/>
            <w:hideMark/>
          </w:tcPr>
          <w:p w:rsidR="00A6416C" w:rsidRPr="001F40F1" w:rsidRDefault="00A6416C" w:rsidP="00991002">
            <w:pPr>
              <w:rPr>
                <w:rFonts w:ascii="Calibri" w:hAnsi="Calibri"/>
                <w:color w:val="000000"/>
                <w:sz w:val="22"/>
                <w:lang w:val="en-PH"/>
              </w:rPr>
            </w:pPr>
            <w:r w:rsidRPr="001F40F1">
              <w:rPr>
                <w:rFonts w:ascii="Calibri" w:hAnsi="Calibri"/>
                <w:color w:val="000000"/>
                <w:sz w:val="22"/>
                <w:lang w:val="en-PH"/>
              </w:rPr>
              <w:t> </w:t>
            </w:r>
          </w:p>
        </w:tc>
        <w:tc>
          <w:tcPr>
            <w:tcW w:w="1710" w:type="dxa"/>
            <w:shd w:val="clear" w:color="auto" w:fill="auto"/>
            <w:noWrap/>
            <w:vAlign w:val="bottom"/>
          </w:tcPr>
          <w:p w:rsidR="00A6416C" w:rsidRPr="001F40F1" w:rsidRDefault="00A6416C" w:rsidP="00991002">
            <w:pPr>
              <w:jc w:val="center"/>
              <w:rPr>
                <w:rFonts w:ascii="Calibri" w:hAnsi="Calibri"/>
                <w:color w:val="000000"/>
                <w:sz w:val="22"/>
                <w:lang w:val="en-PH"/>
              </w:rPr>
            </w:pPr>
          </w:p>
        </w:tc>
      </w:tr>
      <w:tr w:rsidR="00A6416C" w:rsidRPr="001F40F1" w:rsidTr="00991002">
        <w:trPr>
          <w:trHeight w:val="259"/>
        </w:trPr>
        <w:tc>
          <w:tcPr>
            <w:tcW w:w="4698" w:type="dxa"/>
            <w:shd w:val="clear" w:color="auto" w:fill="auto"/>
            <w:noWrap/>
            <w:hideMark/>
          </w:tcPr>
          <w:p w:rsidR="00A6416C" w:rsidRPr="001F40F1" w:rsidRDefault="00A6416C" w:rsidP="00991002">
            <w:pPr>
              <w:rPr>
                <w:color w:val="000000"/>
                <w:sz w:val="22"/>
                <w:lang w:val="en-PH"/>
              </w:rPr>
            </w:pPr>
            <w:r w:rsidRPr="001F40F1">
              <w:rPr>
                <w:color w:val="000000"/>
                <w:sz w:val="22"/>
                <w:lang w:val="en-PH"/>
              </w:rPr>
              <w:t>School Fees</w:t>
            </w:r>
          </w:p>
        </w:tc>
        <w:tc>
          <w:tcPr>
            <w:tcW w:w="189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159,302,931.66</w:t>
            </w:r>
          </w:p>
        </w:tc>
        <w:tc>
          <w:tcPr>
            <w:tcW w:w="1710" w:type="dxa"/>
            <w:shd w:val="clear" w:color="auto" w:fill="auto"/>
            <w:noWrap/>
          </w:tcPr>
          <w:p w:rsidR="00A6416C" w:rsidRPr="001F40F1" w:rsidRDefault="00A6416C" w:rsidP="00991002">
            <w:pPr>
              <w:jc w:val="right"/>
              <w:rPr>
                <w:color w:val="000000"/>
                <w:sz w:val="22"/>
                <w:lang w:val="en-PH"/>
              </w:rPr>
            </w:pPr>
            <w:r w:rsidRPr="001F40F1">
              <w:rPr>
                <w:color w:val="000000"/>
                <w:sz w:val="22"/>
                <w:lang w:val="en-PH"/>
              </w:rPr>
              <w:t xml:space="preserve">  185,103,280.72</w:t>
            </w:r>
          </w:p>
        </w:tc>
      </w:tr>
      <w:tr w:rsidR="00A6416C" w:rsidRPr="001F40F1" w:rsidTr="00991002">
        <w:trPr>
          <w:trHeight w:val="259"/>
        </w:trPr>
        <w:tc>
          <w:tcPr>
            <w:tcW w:w="4698" w:type="dxa"/>
            <w:shd w:val="clear" w:color="auto" w:fill="auto"/>
            <w:noWrap/>
            <w:hideMark/>
          </w:tcPr>
          <w:p w:rsidR="00A6416C" w:rsidRPr="001F40F1" w:rsidRDefault="00A6416C" w:rsidP="00991002">
            <w:pPr>
              <w:rPr>
                <w:color w:val="000000"/>
                <w:sz w:val="22"/>
                <w:lang w:val="en-PH"/>
              </w:rPr>
            </w:pPr>
            <w:r w:rsidRPr="001F40F1">
              <w:rPr>
                <w:color w:val="000000"/>
                <w:sz w:val="22"/>
                <w:lang w:val="en-PH"/>
              </w:rPr>
              <w:t>Rent/ Lease Income</w:t>
            </w:r>
          </w:p>
        </w:tc>
        <w:tc>
          <w:tcPr>
            <w:tcW w:w="189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1,129,431.92</w:t>
            </w:r>
          </w:p>
        </w:tc>
        <w:tc>
          <w:tcPr>
            <w:tcW w:w="1710" w:type="dxa"/>
            <w:shd w:val="clear" w:color="auto" w:fill="auto"/>
            <w:noWrap/>
          </w:tcPr>
          <w:p w:rsidR="00A6416C" w:rsidRPr="001F40F1" w:rsidRDefault="00A6416C" w:rsidP="00991002">
            <w:pPr>
              <w:jc w:val="right"/>
              <w:rPr>
                <w:color w:val="000000"/>
                <w:sz w:val="22"/>
                <w:lang w:val="en-PH"/>
              </w:rPr>
            </w:pPr>
            <w:r w:rsidRPr="001F40F1">
              <w:rPr>
                <w:color w:val="000000"/>
                <w:sz w:val="22"/>
                <w:lang w:val="en-PH"/>
              </w:rPr>
              <w:t>813,348.00</w:t>
            </w:r>
          </w:p>
        </w:tc>
      </w:tr>
      <w:tr w:rsidR="00A6416C" w:rsidRPr="001F40F1" w:rsidTr="00991002">
        <w:trPr>
          <w:trHeight w:val="259"/>
        </w:trPr>
        <w:tc>
          <w:tcPr>
            <w:tcW w:w="4698" w:type="dxa"/>
            <w:shd w:val="clear" w:color="auto" w:fill="auto"/>
            <w:noWrap/>
            <w:hideMark/>
          </w:tcPr>
          <w:p w:rsidR="00A6416C" w:rsidRPr="001F40F1" w:rsidRDefault="00A6416C" w:rsidP="00991002">
            <w:pPr>
              <w:rPr>
                <w:color w:val="000000"/>
                <w:sz w:val="22"/>
                <w:lang w:val="en-PH"/>
              </w:rPr>
            </w:pPr>
            <w:r w:rsidRPr="001F40F1">
              <w:rPr>
                <w:color w:val="000000"/>
                <w:sz w:val="22"/>
                <w:lang w:val="en-PH"/>
              </w:rPr>
              <w:t>Interest Income</w:t>
            </w:r>
          </w:p>
        </w:tc>
        <w:tc>
          <w:tcPr>
            <w:tcW w:w="189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404,834.32</w:t>
            </w:r>
          </w:p>
        </w:tc>
        <w:tc>
          <w:tcPr>
            <w:tcW w:w="1710" w:type="dxa"/>
            <w:shd w:val="clear" w:color="auto" w:fill="auto"/>
            <w:noWrap/>
          </w:tcPr>
          <w:p w:rsidR="00A6416C" w:rsidRPr="001F40F1" w:rsidRDefault="00A6416C" w:rsidP="00991002">
            <w:pPr>
              <w:jc w:val="right"/>
              <w:rPr>
                <w:color w:val="000000"/>
                <w:sz w:val="22"/>
                <w:lang w:val="en-PH"/>
              </w:rPr>
            </w:pPr>
            <w:r w:rsidRPr="001F40F1">
              <w:rPr>
                <w:color w:val="000000"/>
                <w:sz w:val="22"/>
                <w:lang w:val="en-PH"/>
              </w:rPr>
              <w:t>121,427.28</w:t>
            </w:r>
          </w:p>
        </w:tc>
      </w:tr>
      <w:tr w:rsidR="00A6416C" w:rsidRPr="001F40F1" w:rsidTr="00991002">
        <w:trPr>
          <w:trHeight w:val="259"/>
        </w:trPr>
        <w:tc>
          <w:tcPr>
            <w:tcW w:w="4698" w:type="dxa"/>
            <w:shd w:val="clear" w:color="auto" w:fill="auto"/>
            <w:noWrap/>
            <w:hideMark/>
          </w:tcPr>
          <w:p w:rsidR="00A6416C" w:rsidRPr="001F40F1" w:rsidRDefault="00A6416C" w:rsidP="00991002">
            <w:pPr>
              <w:rPr>
                <w:color w:val="000000"/>
                <w:sz w:val="22"/>
                <w:lang w:val="en-PH"/>
              </w:rPr>
            </w:pPr>
            <w:r w:rsidRPr="001F40F1">
              <w:rPr>
                <w:color w:val="000000"/>
                <w:sz w:val="22"/>
                <w:lang w:val="en-PH"/>
              </w:rPr>
              <w:t>Fines and Penalties</w:t>
            </w:r>
          </w:p>
        </w:tc>
        <w:tc>
          <w:tcPr>
            <w:tcW w:w="189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1,350,203.85</w:t>
            </w:r>
          </w:p>
        </w:tc>
        <w:tc>
          <w:tcPr>
            <w:tcW w:w="1710" w:type="dxa"/>
            <w:shd w:val="clear" w:color="auto" w:fill="auto"/>
            <w:noWrap/>
          </w:tcPr>
          <w:p w:rsidR="00A6416C" w:rsidRPr="001F40F1" w:rsidRDefault="00A6416C" w:rsidP="00991002">
            <w:pPr>
              <w:jc w:val="right"/>
              <w:rPr>
                <w:color w:val="000000"/>
                <w:sz w:val="22"/>
                <w:lang w:val="en-PH"/>
              </w:rPr>
            </w:pPr>
            <w:r w:rsidRPr="001F40F1">
              <w:rPr>
                <w:color w:val="000000"/>
                <w:sz w:val="22"/>
                <w:lang w:val="en-PH"/>
              </w:rPr>
              <w:t>637,733.50</w:t>
            </w:r>
          </w:p>
        </w:tc>
      </w:tr>
      <w:tr w:rsidR="00A6416C" w:rsidRPr="001F40F1" w:rsidTr="00991002">
        <w:trPr>
          <w:trHeight w:val="259"/>
        </w:trPr>
        <w:tc>
          <w:tcPr>
            <w:tcW w:w="4698" w:type="dxa"/>
            <w:shd w:val="clear" w:color="auto" w:fill="auto"/>
            <w:noWrap/>
            <w:hideMark/>
          </w:tcPr>
          <w:p w:rsidR="00A6416C" w:rsidRPr="001F40F1" w:rsidRDefault="00A6416C" w:rsidP="00991002">
            <w:pPr>
              <w:rPr>
                <w:color w:val="000000"/>
                <w:sz w:val="22"/>
                <w:lang w:val="en-PH"/>
              </w:rPr>
            </w:pPr>
            <w:r w:rsidRPr="001F40F1">
              <w:rPr>
                <w:color w:val="000000"/>
                <w:sz w:val="22"/>
                <w:lang w:val="en-PH"/>
              </w:rPr>
              <w:t>Other Business Income</w:t>
            </w:r>
          </w:p>
        </w:tc>
        <w:tc>
          <w:tcPr>
            <w:tcW w:w="189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2,410,768.33</w:t>
            </w:r>
          </w:p>
        </w:tc>
        <w:tc>
          <w:tcPr>
            <w:tcW w:w="1710" w:type="dxa"/>
            <w:shd w:val="clear" w:color="auto" w:fill="auto"/>
            <w:noWrap/>
            <w:hideMark/>
          </w:tcPr>
          <w:p w:rsidR="00A6416C" w:rsidRPr="001F40F1" w:rsidRDefault="00A6416C" w:rsidP="00991002">
            <w:pPr>
              <w:jc w:val="right"/>
              <w:rPr>
                <w:color w:val="000000"/>
                <w:sz w:val="22"/>
                <w:lang w:val="en-PH"/>
              </w:rPr>
            </w:pPr>
            <w:r w:rsidRPr="001F40F1">
              <w:rPr>
                <w:color w:val="000000"/>
                <w:sz w:val="22"/>
                <w:lang w:val="en-PH"/>
              </w:rPr>
              <w:t>1,460,049.41</w:t>
            </w:r>
          </w:p>
        </w:tc>
      </w:tr>
      <w:tr w:rsidR="00A6416C" w:rsidRPr="001F40F1" w:rsidTr="00991002">
        <w:trPr>
          <w:trHeight w:val="259"/>
        </w:trPr>
        <w:tc>
          <w:tcPr>
            <w:tcW w:w="4698" w:type="dxa"/>
            <w:shd w:val="clear" w:color="auto" w:fill="auto"/>
            <w:noWrap/>
            <w:vAlign w:val="center"/>
            <w:hideMark/>
          </w:tcPr>
          <w:p w:rsidR="00A6416C" w:rsidRPr="001F40F1" w:rsidRDefault="00A6416C" w:rsidP="00991002">
            <w:pPr>
              <w:rPr>
                <w:b/>
                <w:bCs/>
                <w:color w:val="000000"/>
                <w:sz w:val="22"/>
                <w:lang w:val="en-PH"/>
              </w:rPr>
            </w:pPr>
            <w:r w:rsidRPr="001F40F1">
              <w:rPr>
                <w:b/>
                <w:bCs/>
                <w:color w:val="000000"/>
                <w:sz w:val="22"/>
                <w:lang w:val="en-PH"/>
              </w:rPr>
              <w:t>Total</w:t>
            </w:r>
          </w:p>
        </w:tc>
        <w:tc>
          <w:tcPr>
            <w:tcW w:w="1890" w:type="dxa"/>
            <w:shd w:val="clear" w:color="auto" w:fill="auto"/>
            <w:noWrap/>
            <w:vAlign w:val="center"/>
            <w:hideMark/>
          </w:tcPr>
          <w:p w:rsidR="00A6416C" w:rsidRPr="001F40F1" w:rsidRDefault="00A6416C" w:rsidP="00991002">
            <w:pPr>
              <w:jc w:val="right"/>
              <w:rPr>
                <w:b/>
                <w:color w:val="000000"/>
                <w:sz w:val="22"/>
                <w:lang w:val="en-PH"/>
              </w:rPr>
            </w:pPr>
            <w:r w:rsidRPr="001F40F1">
              <w:rPr>
                <w:b/>
                <w:color w:val="000000"/>
                <w:sz w:val="22"/>
                <w:lang w:val="en-PH"/>
              </w:rPr>
              <w:t>164,598,170.08</w:t>
            </w:r>
          </w:p>
        </w:tc>
        <w:tc>
          <w:tcPr>
            <w:tcW w:w="1710" w:type="dxa"/>
            <w:shd w:val="clear" w:color="auto" w:fill="auto"/>
            <w:noWrap/>
            <w:vAlign w:val="bottom"/>
            <w:hideMark/>
          </w:tcPr>
          <w:p w:rsidR="00A6416C" w:rsidRPr="001F40F1" w:rsidRDefault="00A6416C" w:rsidP="00991002">
            <w:pPr>
              <w:jc w:val="right"/>
              <w:rPr>
                <w:color w:val="000000"/>
                <w:sz w:val="22"/>
                <w:lang w:val="en-PH"/>
              </w:rPr>
            </w:pPr>
            <w:r w:rsidRPr="001F40F1">
              <w:rPr>
                <w:b/>
                <w:color w:val="000000"/>
                <w:sz w:val="22"/>
                <w:lang w:val="en-PH"/>
              </w:rPr>
              <w:t>188,135,838.91</w:t>
            </w:r>
          </w:p>
        </w:tc>
      </w:tr>
    </w:tbl>
    <w:p w:rsidR="006F7F88" w:rsidRDefault="006F7F88" w:rsidP="00124F98">
      <w:pPr>
        <w:pStyle w:val="BodyTextIndent"/>
        <w:tabs>
          <w:tab w:val="left" w:pos="360"/>
          <w:tab w:val="left" w:pos="450"/>
        </w:tabs>
        <w:ind w:left="0" w:firstLine="0"/>
        <w:rPr>
          <w:b/>
        </w:rPr>
      </w:pPr>
    </w:p>
    <w:p w:rsidR="0086293A" w:rsidRDefault="00B74622" w:rsidP="00A010EE">
      <w:pPr>
        <w:pStyle w:val="BodyTextIndent"/>
        <w:numPr>
          <w:ilvl w:val="0"/>
          <w:numId w:val="18"/>
        </w:numPr>
        <w:ind w:left="426" w:hanging="426"/>
        <w:rPr>
          <w:b/>
        </w:rPr>
      </w:pPr>
      <w:r>
        <w:rPr>
          <w:b/>
        </w:rPr>
        <w:t>Personnel Services</w:t>
      </w:r>
    </w:p>
    <w:p w:rsidR="00BE0883" w:rsidRDefault="00BE0883" w:rsidP="00124F98">
      <w:pPr>
        <w:pStyle w:val="BodyTextIndent"/>
        <w:tabs>
          <w:tab w:val="left" w:pos="360"/>
          <w:tab w:val="left" w:pos="450"/>
        </w:tabs>
        <w:ind w:left="0" w:firstLine="0"/>
        <w:rPr>
          <w:b/>
        </w:rPr>
      </w:pPr>
    </w:p>
    <w:p w:rsidR="00B74622" w:rsidRDefault="00BE0883" w:rsidP="00A010EE">
      <w:pPr>
        <w:ind w:left="426"/>
        <w:jc w:val="both"/>
        <w:rPr>
          <w:b/>
        </w:rPr>
      </w:pPr>
      <w:r>
        <w:rPr>
          <w:bCs/>
          <w:color w:val="000000"/>
          <w:sz w:val="24"/>
          <w:szCs w:val="24"/>
        </w:rPr>
        <w:t xml:space="preserve">This </w:t>
      </w:r>
      <w:r w:rsidR="00F21ECB" w:rsidRPr="00940833">
        <w:rPr>
          <w:sz w:val="24"/>
        </w:rPr>
        <w:t>consist</w:t>
      </w:r>
      <w:r w:rsidR="007912C5" w:rsidRPr="00940833">
        <w:rPr>
          <w:sz w:val="24"/>
        </w:rPr>
        <w:t>s</w:t>
      </w:r>
      <w:r w:rsidR="00F21ECB">
        <w:rPr>
          <w:bCs/>
          <w:color w:val="000000"/>
          <w:sz w:val="24"/>
          <w:szCs w:val="24"/>
        </w:rPr>
        <w:t xml:space="preserve"> of the following accounts:</w:t>
      </w:r>
    </w:p>
    <w:p w:rsidR="00C90DFE" w:rsidRDefault="00C90DFE" w:rsidP="00124F98">
      <w:pPr>
        <w:tabs>
          <w:tab w:val="left" w:pos="360"/>
          <w:tab w:val="left" w:pos="450"/>
          <w:tab w:val="left" w:pos="900"/>
        </w:tabs>
        <w:jc w:val="both"/>
        <w:rPr>
          <w:b/>
          <w:sz w:val="24"/>
          <w:szCs w:val="24"/>
        </w:rPr>
      </w:pPr>
    </w:p>
    <w:p w:rsidR="00C90DFE" w:rsidRDefault="00C90DFE" w:rsidP="00A010EE">
      <w:pPr>
        <w:pStyle w:val="BodyTextIndent"/>
        <w:numPr>
          <w:ilvl w:val="1"/>
          <w:numId w:val="18"/>
        </w:numPr>
        <w:ind w:left="993" w:hanging="567"/>
        <w:rPr>
          <w:b/>
          <w:szCs w:val="24"/>
        </w:rPr>
      </w:pPr>
      <w:r w:rsidRPr="00C90DFE">
        <w:rPr>
          <w:b/>
          <w:szCs w:val="24"/>
        </w:rPr>
        <w:t>Salaries and Wages</w:t>
      </w:r>
    </w:p>
    <w:p w:rsidR="00C90DFE" w:rsidRDefault="00C90DFE" w:rsidP="00C90DFE">
      <w:pPr>
        <w:tabs>
          <w:tab w:val="left" w:pos="360"/>
          <w:tab w:val="left" w:pos="450"/>
          <w:tab w:val="left" w:pos="900"/>
        </w:tabs>
        <w:ind w:left="426"/>
        <w:jc w:val="both"/>
        <w:rPr>
          <w:b/>
          <w:sz w:val="24"/>
          <w:szCs w:val="24"/>
        </w:rPr>
      </w:pPr>
    </w:p>
    <w:p w:rsidR="00422DB9" w:rsidRPr="0082323F" w:rsidRDefault="00422DB9" w:rsidP="00A010EE">
      <w:pPr>
        <w:ind w:left="993"/>
        <w:jc w:val="both"/>
        <w:rPr>
          <w:sz w:val="24"/>
          <w:szCs w:val="24"/>
        </w:rPr>
      </w:pPr>
      <w:r w:rsidRPr="0082323F">
        <w:rPr>
          <w:sz w:val="24"/>
          <w:szCs w:val="24"/>
        </w:rPr>
        <w:t>The account</w:t>
      </w:r>
      <w:r w:rsidR="00536FFE">
        <w:rPr>
          <w:sz w:val="24"/>
          <w:szCs w:val="24"/>
        </w:rPr>
        <w:t xml:space="preserve"> </w:t>
      </w:r>
      <w:r w:rsidR="0082323F" w:rsidRPr="0082323F">
        <w:rPr>
          <w:sz w:val="24"/>
          <w:szCs w:val="24"/>
        </w:rPr>
        <w:t>Salaries and Wages for CYs 2016 and 2015 amounted to ₱</w:t>
      </w:r>
      <w:r w:rsidR="0082323F" w:rsidRPr="0082323F">
        <w:rPr>
          <w:color w:val="000000"/>
          <w:sz w:val="24"/>
          <w:szCs w:val="24"/>
          <w:lang w:val="en-PH"/>
        </w:rPr>
        <w:t xml:space="preserve">42,836,965.48 and </w:t>
      </w:r>
      <w:r w:rsidR="0082323F" w:rsidRPr="0082323F">
        <w:rPr>
          <w:sz w:val="24"/>
          <w:szCs w:val="24"/>
        </w:rPr>
        <w:t>₱</w:t>
      </w:r>
      <w:r w:rsidR="0082323F" w:rsidRPr="0082323F">
        <w:rPr>
          <w:color w:val="000000"/>
          <w:sz w:val="24"/>
          <w:szCs w:val="24"/>
          <w:lang w:val="en-PH"/>
        </w:rPr>
        <w:t>39,330,592.14, respectively.</w:t>
      </w:r>
    </w:p>
    <w:p w:rsidR="00422DB9" w:rsidRDefault="00422DB9" w:rsidP="00C90DFE">
      <w:pPr>
        <w:tabs>
          <w:tab w:val="left" w:pos="360"/>
          <w:tab w:val="left" w:pos="450"/>
          <w:tab w:val="left" w:pos="900"/>
        </w:tabs>
        <w:ind w:left="426"/>
        <w:jc w:val="both"/>
        <w:rPr>
          <w:b/>
          <w:sz w:val="24"/>
          <w:szCs w:val="24"/>
        </w:rPr>
      </w:pPr>
    </w:p>
    <w:p w:rsidR="00CE190E" w:rsidRDefault="00CE190E" w:rsidP="00A010EE">
      <w:pPr>
        <w:pStyle w:val="BodyTextIndent"/>
        <w:numPr>
          <w:ilvl w:val="1"/>
          <w:numId w:val="18"/>
        </w:numPr>
        <w:ind w:left="993" w:hanging="567"/>
        <w:rPr>
          <w:b/>
          <w:szCs w:val="24"/>
        </w:rPr>
      </w:pPr>
      <w:r w:rsidRPr="00CE190E">
        <w:rPr>
          <w:b/>
          <w:szCs w:val="24"/>
        </w:rPr>
        <w:t>Other Compensation</w:t>
      </w:r>
    </w:p>
    <w:p w:rsidR="00CE190E" w:rsidRDefault="00CE190E" w:rsidP="00124F98">
      <w:pPr>
        <w:tabs>
          <w:tab w:val="left" w:pos="360"/>
          <w:tab w:val="left" w:pos="450"/>
          <w:tab w:val="left" w:pos="900"/>
        </w:tabs>
        <w:jc w:val="both"/>
        <w:rPr>
          <w:b/>
          <w:sz w:val="24"/>
          <w:szCs w:val="24"/>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C90DFE" w:rsidRPr="001F40F1" w:rsidTr="00991002">
        <w:trPr>
          <w:trHeight w:val="259"/>
          <w:tblHeader/>
        </w:trPr>
        <w:tc>
          <w:tcPr>
            <w:tcW w:w="4140" w:type="dxa"/>
            <w:shd w:val="clear" w:color="auto" w:fill="auto"/>
            <w:noWrap/>
            <w:vAlign w:val="center"/>
            <w:hideMark/>
          </w:tcPr>
          <w:p w:rsidR="00C90DFE" w:rsidRPr="001F40F1" w:rsidRDefault="00C90DFE" w:rsidP="00E55775">
            <w:pPr>
              <w:jc w:val="center"/>
              <w:rPr>
                <w:b/>
                <w:bCs/>
                <w:color w:val="000000"/>
                <w:sz w:val="22"/>
                <w:szCs w:val="22"/>
                <w:lang w:val="en-PH"/>
              </w:rPr>
            </w:pPr>
            <w:r w:rsidRPr="001F40F1">
              <w:rPr>
                <w:b/>
                <w:bCs/>
                <w:color w:val="000000"/>
                <w:sz w:val="22"/>
                <w:szCs w:val="22"/>
                <w:lang w:val="en-PH"/>
              </w:rPr>
              <w:t>Account Title</w:t>
            </w:r>
          </w:p>
        </w:tc>
        <w:tc>
          <w:tcPr>
            <w:tcW w:w="1890" w:type="dxa"/>
            <w:shd w:val="clear" w:color="auto" w:fill="auto"/>
            <w:noWrap/>
            <w:vAlign w:val="center"/>
            <w:hideMark/>
          </w:tcPr>
          <w:p w:rsidR="00C90DFE" w:rsidRPr="001F40F1" w:rsidRDefault="00C90DFE" w:rsidP="00E55775">
            <w:pPr>
              <w:jc w:val="center"/>
              <w:rPr>
                <w:b/>
                <w:bCs/>
                <w:color w:val="000000"/>
                <w:sz w:val="22"/>
                <w:szCs w:val="22"/>
                <w:lang w:val="en-PH"/>
              </w:rPr>
            </w:pPr>
            <w:r w:rsidRPr="001F40F1">
              <w:rPr>
                <w:b/>
                <w:bCs/>
                <w:color w:val="000000"/>
                <w:sz w:val="22"/>
                <w:szCs w:val="22"/>
                <w:lang w:val="en-PH"/>
              </w:rPr>
              <w:t> 2016</w:t>
            </w:r>
          </w:p>
        </w:tc>
        <w:tc>
          <w:tcPr>
            <w:tcW w:w="1710" w:type="dxa"/>
            <w:shd w:val="clear" w:color="auto" w:fill="auto"/>
            <w:noWrap/>
            <w:vAlign w:val="center"/>
            <w:hideMark/>
          </w:tcPr>
          <w:p w:rsidR="00C90DFE" w:rsidRPr="001F40F1" w:rsidRDefault="00C90DFE" w:rsidP="00E55775">
            <w:pPr>
              <w:jc w:val="center"/>
              <w:rPr>
                <w:b/>
                <w:bCs/>
                <w:color w:val="000000"/>
                <w:sz w:val="22"/>
                <w:szCs w:val="22"/>
                <w:lang w:val="en-PH"/>
              </w:rPr>
            </w:pPr>
            <w:r w:rsidRPr="001F40F1">
              <w:rPr>
                <w:b/>
                <w:bCs/>
                <w:color w:val="000000"/>
                <w:sz w:val="22"/>
                <w:szCs w:val="22"/>
                <w:lang w:val="en-PH"/>
              </w:rPr>
              <w:t>2015 </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Personal Economic Relief Allowance (PERA)</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3,249,436.88</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3,164,231.51</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Representation Allowance (RA)</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704,500.00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707,625.00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Transportation Allowance (TA)</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602,500.00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621,331.68</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lastRenderedPageBreak/>
              <w:t>Clothing/ Uniform Allowance</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705,000.00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700,000.00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Subsistence Allowance</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21,525.00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19,325.00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Laundry Allowance</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3,600.00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3,600.00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Productivity Incentive Allowance</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3,535,331.00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Honoraria</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6,179,653.86</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7,742,840.11</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Year End Bonus</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7,198,516.00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3,373,134.60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Cash Gift</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685,000.00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682,250.00</w:t>
            </w:r>
          </w:p>
        </w:tc>
      </w:tr>
      <w:tr w:rsidR="00C90DFE" w:rsidRPr="001F40F1" w:rsidTr="00991002">
        <w:trPr>
          <w:trHeight w:val="259"/>
        </w:trPr>
        <w:tc>
          <w:tcPr>
            <w:tcW w:w="4140" w:type="dxa"/>
            <w:shd w:val="clear" w:color="auto" w:fill="auto"/>
            <w:noWrap/>
            <w:vAlign w:val="center"/>
            <w:hideMark/>
          </w:tcPr>
          <w:p w:rsidR="00C90DFE" w:rsidRPr="001F40F1" w:rsidRDefault="00C90DFE" w:rsidP="00E55775">
            <w:pPr>
              <w:rPr>
                <w:color w:val="000000"/>
                <w:sz w:val="22"/>
                <w:szCs w:val="22"/>
                <w:lang w:val="en-PH"/>
              </w:rPr>
            </w:pPr>
            <w:r w:rsidRPr="001F40F1">
              <w:rPr>
                <w:color w:val="000000"/>
                <w:sz w:val="22"/>
                <w:szCs w:val="22"/>
                <w:lang w:val="en-PH"/>
              </w:rPr>
              <w:t>Other Bonuses and Allowances</w:t>
            </w:r>
          </w:p>
        </w:tc>
        <w:tc>
          <w:tcPr>
            <w:tcW w:w="189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2,211,200.00</w:t>
            </w:r>
          </w:p>
        </w:tc>
        <w:tc>
          <w:tcPr>
            <w:tcW w:w="1710" w:type="dxa"/>
            <w:shd w:val="clear" w:color="auto" w:fill="auto"/>
            <w:noWrap/>
            <w:vAlign w:val="center"/>
            <w:hideMark/>
          </w:tcPr>
          <w:p w:rsidR="00C90DFE" w:rsidRPr="001F40F1" w:rsidRDefault="00C90DFE" w:rsidP="00E55775">
            <w:pPr>
              <w:jc w:val="right"/>
              <w:rPr>
                <w:color w:val="000000"/>
                <w:sz w:val="22"/>
                <w:szCs w:val="22"/>
                <w:lang w:val="en-PH"/>
              </w:rPr>
            </w:pPr>
            <w:r w:rsidRPr="001F40F1">
              <w:rPr>
                <w:color w:val="000000"/>
                <w:sz w:val="22"/>
                <w:szCs w:val="22"/>
                <w:lang w:val="en-PH"/>
              </w:rPr>
              <w:t>1,111,500.00</w:t>
            </w:r>
          </w:p>
        </w:tc>
      </w:tr>
      <w:tr w:rsidR="00C90DFE" w:rsidRPr="001F40F1" w:rsidTr="00991002">
        <w:trPr>
          <w:trHeight w:val="259"/>
        </w:trPr>
        <w:tc>
          <w:tcPr>
            <w:tcW w:w="4140" w:type="dxa"/>
            <w:shd w:val="clear" w:color="auto" w:fill="auto"/>
            <w:noWrap/>
            <w:vAlign w:val="bottom"/>
            <w:hideMark/>
          </w:tcPr>
          <w:p w:rsidR="00C90DFE" w:rsidRPr="001F40F1" w:rsidRDefault="00C90DFE" w:rsidP="00E55775">
            <w:pPr>
              <w:rPr>
                <w:b/>
                <w:bCs/>
                <w:color w:val="000000"/>
                <w:sz w:val="22"/>
                <w:szCs w:val="22"/>
                <w:lang w:val="en-PH"/>
              </w:rPr>
            </w:pPr>
            <w:r w:rsidRPr="001F40F1">
              <w:rPr>
                <w:b/>
                <w:bCs/>
                <w:color w:val="000000"/>
                <w:sz w:val="22"/>
                <w:szCs w:val="22"/>
                <w:lang w:val="en-PH"/>
              </w:rPr>
              <w:t>Total</w:t>
            </w:r>
          </w:p>
        </w:tc>
        <w:tc>
          <w:tcPr>
            <w:tcW w:w="1890" w:type="dxa"/>
            <w:shd w:val="clear" w:color="auto" w:fill="auto"/>
            <w:noWrap/>
            <w:vAlign w:val="bottom"/>
            <w:hideMark/>
          </w:tcPr>
          <w:p w:rsidR="00C90DFE" w:rsidRPr="001F40F1" w:rsidRDefault="00CE190E" w:rsidP="00E55775">
            <w:pPr>
              <w:jc w:val="right"/>
              <w:rPr>
                <w:b/>
                <w:bCs/>
                <w:color w:val="000000"/>
                <w:sz w:val="22"/>
                <w:szCs w:val="22"/>
                <w:lang w:val="en-PH"/>
              </w:rPr>
            </w:pPr>
            <w:r w:rsidRPr="001F40F1">
              <w:rPr>
                <w:b/>
                <w:bCs/>
                <w:color w:val="000000"/>
                <w:sz w:val="22"/>
                <w:szCs w:val="22"/>
                <w:lang w:val="en-PH"/>
              </w:rPr>
              <w:t>21,560,931.74</w:t>
            </w:r>
          </w:p>
        </w:tc>
        <w:tc>
          <w:tcPr>
            <w:tcW w:w="1710" w:type="dxa"/>
            <w:shd w:val="clear" w:color="auto" w:fill="auto"/>
            <w:noWrap/>
            <w:vAlign w:val="bottom"/>
            <w:hideMark/>
          </w:tcPr>
          <w:p w:rsidR="00C90DFE" w:rsidRPr="001F40F1" w:rsidRDefault="00CE190E" w:rsidP="00E55775">
            <w:pPr>
              <w:jc w:val="right"/>
              <w:rPr>
                <w:b/>
                <w:bCs/>
                <w:color w:val="000000"/>
                <w:sz w:val="22"/>
                <w:szCs w:val="22"/>
                <w:lang w:val="en-PH"/>
              </w:rPr>
            </w:pPr>
            <w:r w:rsidRPr="001F40F1">
              <w:rPr>
                <w:b/>
                <w:bCs/>
                <w:color w:val="000000"/>
                <w:sz w:val="22"/>
                <w:szCs w:val="22"/>
                <w:lang w:val="en-PH"/>
              </w:rPr>
              <w:t>21,661,168.9</w:t>
            </w:r>
            <w:r w:rsidR="001C54E8" w:rsidRPr="001F40F1">
              <w:rPr>
                <w:b/>
                <w:bCs/>
                <w:color w:val="000000"/>
                <w:sz w:val="22"/>
                <w:szCs w:val="22"/>
                <w:lang w:val="en-PH"/>
              </w:rPr>
              <w:t>0</w:t>
            </w:r>
          </w:p>
        </w:tc>
      </w:tr>
    </w:tbl>
    <w:p w:rsidR="00C90DFE" w:rsidRDefault="00C90DFE" w:rsidP="00124F98">
      <w:pPr>
        <w:tabs>
          <w:tab w:val="left" w:pos="360"/>
          <w:tab w:val="left" w:pos="450"/>
          <w:tab w:val="left" w:pos="900"/>
        </w:tabs>
        <w:jc w:val="both"/>
        <w:rPr>
          <w:b/>
          <w:sz w:val="24"/>
          <w:szCs w:val="24"/>
        </w:rPr>
      </w:pPr>
    </w:p>
    <w:p w:rsidR="00624239" w:rsidRDefault="00C467F8" w:rsidP="00A010EE">
      <w:pPr>
        <w:pStyle w:val="BodyTextIndent"/>
        <w:numPr>
          <w:ilvl w:val="1"/>
          <w:numId w:val="18"/>
        </w:numPr>
        <w:ind w:left="993" w:hanging="567"/>
        <w:rPr>
          <w:b/>
          <w:szCs w:val="24"/>
        </w:rPr>
      </w:pPr>
      <w:r w:rsidRPr="00C467F8">
        <w:rPr>
          <w:b/>
          <w:szCs w:val="24"/>
        </w:rPr>
        <w:t>Personnel Benefit Contributions</w:t>
      </w:r>
    </w:p>
    <w:p w:rsidR="00624239" w:rsidRDefault="00624239" w:rsidP="00124F98">
      <w:pPr>
        <w:tabs>
          <w:tab w:val="left" w:pos="360"/>
          <w:tab w:val="left" w:pos="450"/>
          <w:tab w:val="left" w:pos="900"/>
        </w:tabs>
        <w:jc w:val="both"/>
        <w:rPr>
          <w:b/>
          <w:sz w:val="24"/>
          <w:szCs w:val="24"/>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C90DFE" w:rsidRPr="001F40F1" w:rsidTr="00991002">
        <w:trPr>
          <w:trHeight w:val="260"/>
          <w:tblHeader/>
        </w:trPr>
        <w:tc>
          <w:tcPr>
            <w:tcW w:w="4140" w:type="dxa"/>
            <w:shd w:val="clear" w:color="auto" w:fill="auto"/>
            <w:noWrap/>
            <w:vAlign w:val="center"/>
            <w:hideMark/>
          </w:tcPr>
          <w:p w:rsidR="00C90DFE" w:rsidRPr="001F40F1" w:rsidRDefault="00C90DFE" w:rsidP="00E55775">
            <w:pPr>
              <w:jc w:val="center"/>
              <w:rPr>
                <w:b/>
                <w:bCs/>
                <w:color w:val="000000"/>
                <w:sz w:val="22"/>
                <w:lang w:val="en-PH"/>
              </w:rPr>
            </w:pPr>
            <w:r w:rsidRPr="001F40F1">
              <w:rPr>
                <w:b/>
                <w:bCs/>
                <w:color w:val="000000"/>
                <w:sz w:val="22"/>
                <w:lang w:val="en-PH"/>
              </w:rPr>
              <w:t>Account Title</w:t>
            </w:r>
          </w:p>
        </w:tc>
        <w:tc>
          <w:tcPr>
            <w:tcW w:w="1890" w:type="dxa"/>
            <w:shd w:val="clear" w:color="auto" w:fill="auto"/>
            <w:noWrap/>
            <w:vAlign w:val="center"/>
            <w:hideMark/>
          </w:tcPr>
          <w:p w:rsidR="00C90DFE" w:rsidRPr="001F40F1" w:rsidRDefault="00C90DFE" w:rsidP="00E55775">
            <w:pPr>
              <w:jc w:val="center"/>
              <w:rPr>
                <w:b/>
                <w:bCs/>
                <w:color w:val="000000"/>
                <w:sz w:val="22"/>
                <w:lang w:val="en-PH"/>
              </w:rPr>
            </w:pPr>
            <w:r w:rsidRPr="001F40F1">
              <w:rPr>
                <w:b/>
                <w:bCs/>
                <w:color w:val="000000"/>
                <w:sz w:val="22"/>
                <w:lang w:val="en-PH"/>
              </w:rPr>
              <w:t> 2016</w:t>
            </w:r>
          </w:p>
        </w:tc>
        <w:tc>
          <w:tcPr>
            <w:tcW w:w="1710" w:type="dxa"/>
            <w:shd w:val="clear" w:color="auto" w:fill="auto"/>
            <w:noWrap/>
            <w:vAlign w:val="center"/>
            <w:hideMark/>
          </w:tcPr>
          <w:p w:rsidR="00C90DFE" w:rsidRPr="001F40F1" w:rsidRDefault="00C90DFE" w:rsidP="00E55775">
            <w:pPr>
              <w:jc w:val="center"/>
              <w:rPr>
                <w:b/>
                <w:bCs/>
                <w:color w:val="000000"/>
                <w:sz w:val="22"/>
                <w:lang w:val="en-PH"/>
              </w:rPr>
            </w:pPr>
            <w:r w:rsidRPr="001F40F1">
              <w:rPr>
                <w:b/>
                <w:bCs/>
                <w:color w:val="000000"/>
                <w:sz w:val="22"/>
                <w:lang w:val="en-PH"/>
              </w:rPr>
              <w:t>2015 </w:t>
            </w:r>
          </w:p>
        </w:tc>
      </w:tr>
      <w:tr w:rsidR="00C90DFE" w:rsidRPr="001F40F1" w:rsidTr="00991002">
        <w:trPr>
          <w:trHeight w:val="255"/>
        </w:trPr>
        <w:tc>
          <w:tcPr>
            <w:tcW w:w="4140" w:type="dxa"/>
            <w:shd w:val="clear" w:color="auto" w:fill="auto"/>
            <w:noWrap/>
            <w:vAlign w:val="center"/>
          </w:tcPr>
          <w:p w:rsidR="00C90DFE" w:rsidRPr="001F40F1" w:rsidRDefault="003A4AEE" w:rsidP="00E55775">
            <w:pPr>
              <w:rPr>
                <w:color w:val="000000"/>
                <w:sz w:val="22"/>
                <w:lang w:val="en-PH"/>
              </w:rPr>
            </w:pPr>
            <w:r w:rsidRPr="001F40F1">
              <w:rPr>
                <w:color w:val="000000"/>
                <w:sz w:val="22"/>
                <w:lang w:val="en-PH"/>
              </w:rPr>
              <w:t>Retirement and</w:t>
            </w:r>
            <w:r w:rsidR="00C90DFE" w:rsidRPr="001F40F1">
              <w:rPr>
                <w:color w:val="000000"/>
                <w:sz w:val="22"/>
                <w:lang w:val="en-PH"/>
              </w:rPr>
              <w:t xml:space="preserve"> Life Insurance Premiums</w:t>
            </w:r>
          </w:p>
        </w:tc>
        <w:tc>
          <w:tcPr>
            <w:tcW w:w="1890" w:type="dxa"/>
            <w:shd w:val="clear" w:color="auto" w:fill="auto"/>
            <w:noWrap/>
            <w:vAlign w:val="center"/>
          </w:tcPr>
          <w:p w:rsidR="00C90DFE" w:rsidRPr="001F40F1" w:rsidRDefault="00C90DFE" w:rsidP="00E55775">
            <w:pPr>
              <w:jc w:val="right"/>
              <w:rPr>
                <w:color w:val="000000"/>
                <w:sz w:val="22"/>
              </w:rPr>
            </w:pPr>
            <w:r w:rsidRPr="001F40F1">
              <w:rPr>
                <w:color w:val="000000"/>
                <w:sz w:val="22"/>
              </w:rPr>
              <w:t>5,093,099.18</w:t>
            </w:r>
          </w:p>
        </w:tc>
        <w:tc>
          <w:tcPr>
            <w:tcW w:w="1710" w:type="dxa"/>
            <w:shd w:val="clear" w:color="auto" w:fill="auto"/>
            <w:noWrap/>
            <w:vAlign w:val="center"/>
          </w:tcPr>
          <w:p w:rsidR="00C90DFE" w:rsidRPr="001F40F1" w:rsidRDefault="00C90DFE" w:rsidP="00E55775">
            <w:pPr>
              <w:jc w:val="right"/>
              <w:rPr>
                <w:color w:val="000000"/>
                <w:sz w:val="22"/>
              </w:rPr>
            </w:pPr>
            <w:r w:rsidRPr="001F40F1">
              <w:rPr>
                <w:color w:val="000000"/>
                <w:sz w:val="22"/>
              </w:rPr>
              <w:t>4,656,719.09</w:t>
            </w:r>
          </w:p>
        </w:tc>
      </w:tr>
      <w:tr w:rsidR="00C90DFE" w:rsidRPr="001F40F1" w:rsidTr="00991002">
        <w:trPr>
          <w:trHeight w:val="255"/>
        </w:trPr>
        <w:tc>
          <w:tcPr>
            <w:tcW w:w="4140" w:type="dxa"/>
            <w:shd w:val="clear" w:color="auto" w:fill="auto"/>
            <w:noWrap/>
            <w:vAlign w:val="center"/>
            <w:hideMark/>
          </w:tcPr>
          <w:p w:rsidR="00C90DFE" w:rsidRPr="001F40F1" w:rsidRDefault="00C90DFE" w:rsidP="008C72B5">
            <w:pPr>
              <w:rPr>
                <w:color w:val="000000"/>
                <w:sz w:val="22"/>
                <w:lang w:val="en-PH"/>
              </w:rPr>
            </w:pPr>
            <w:proofErr w:type="spellStart"/>
            <w:r w:rsidRPr="001F40F1">
              <w:rPr>
                <w:color w:val="000000"/>
                <w:sz w:val="22"/>
              </w:rPr>
              <w:t>P</w:t>
            </w:r>
            <w:r w:rsidR="008C72B5" w:rsidRPr="001F40F1">
              <w:rPr>
                <w:color w:val="000000"/>
                <w:sz w:val="22"/>
              </w:rPr>
              <w:t>ag</w:t>
            </w:r>
            <w:proofErr w:type="spellEnd"/>
            <w:r w:rsidRPr="001F40F1">
              <w:rPr>
                <w:color w:val="000000"/>
                <w:sz w:val="22"/>
              </w:rPr>
              <w:t>-IBIG Contributions</w:t>
            </w:r>
          </w:p>
        </w:tc>
        <w:tc>
          <w:tcPr>
            <w:tcW w:w="189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164,800.00</w:t>
            </w:r>
          </w:p>
        </w:tc>
        <w:tc>
          <w:tcPr>
            <w:tcW w:w="171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146,300.00</w:t>
            </w:r>
          </w:p>
        </w:tc>
      </w:tr>
      <w:tr w:rsidR="00C90DFE" w:rsidRPr="001F40F1" w:rsidTr="00991002">
        <w:trPr>
          <w:trHeight w:val="255"/>
        </w:trPr>
        <w:tc>
          <w:tcPr>
            <w:tcW w:w="4140" w:type="dxa"/>
            <w:shd w:val="clear" w:color="auto" w:fill="auto"/>
            <w:noWrap/>
            <w:vAlign w:val="center"/>
            <w:hideMark/>
          </w:tcPr>
          <w:p w:rsidR="00C90DFE" w:rsidRPr="001F40F1" w:rsidRDefault="00C90DFE" w:rsidP="00E55775">
            <w:pPr>
              <w:rPr>
                <w:color w:val="000000"/>
                <w:sz w:val="22"/>
                <w:lang w:val="en-PH"/>
              </w:rPr>
            </w:pPr>
            <w:r w:rsidRPr="001F40F1">
              <w:rPr>
                <w:color w:val="000000"/>
                <w:sz w:val="22"/>
              </w:rPr>
              <w:t>Phil Health Contributions</w:t>
            </w:r>
          </w:p>
        </w:tc>
        <w:tc>
          <w:tcPr>
            <w:tcW w:w="189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474,906.50</w:t>
            </w:r>
          </w:p>
        </w:tc>
        <w:tc>
          <w:tcPr>
            <w:tcW w:w="171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467,262.50</w:t>
            </w:r>
          </w:p>
        </w:tc>
      </w:tr>
      <w:tr w:rsidR="00C90DFE" w:rsidRPr="001F40F1" w:rsidTr="00991002">
        <w:trPr>
          <w:trHeight w:val="255"/>
        </w:trPr>
        <w:tc>
          <w:tcPr>
            <w:tcW w:w="4140" w:type="dxa"/>
            <w:shd w:val="clear" w:color="auto" w:fill="auto"/>
            <w:noWrap/>
            <w:vAlign w:val="center"/>
            <w:hideMark/>
          </w:tcPr>
          <w:p w:rsidR="00C90DFE" w:rsidRPr="001F40F1" w:rsidRDefault="00C90DFE" w:rsidP="00960F7E">
            <w:pPr>
              <w:rPr>
                <w:color w:val="000000"/>
                <w:sz w:val="22"/>
                <w:lang w:val="en-PH"/>
              </w:rPr>
            </w:pPr>
            <w:r w:rsidRPr="001F40F1">
              <w:rPr>
                <w:color w:val="000000"/>
                <w:sz w:val="22"/>
              </w:rPr>
              <w:t>E</w:t>
            </w:r>
            <w:r w:rsidR="00960F7E" w:rsidRPr="001F40F1">
              <w:rPr>
                <w:color w:val="000000"/>
                <w:sz w:val="22"/>
              </w:rPr>
              <w:t>mployees Compensation Insurance</w:t>
            </w:r>
            <w:r w:rsidRPr="001F40F1">
              <w:rPr>
                <w:color w:val="000000"/>
                <w:sz w:val="22"/>
              </w:rPr>
              <w:t xml:space="preserve"> Premiums</w:t>
            </w:r>
          </w:p>
        </w:tc>
        <w:tc>
          <w:tcPr>
            <w:tcW w:w="189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165,667.58</w:t>
            </w:r>
          </w:p>
        </w:tc>
        <w:tc>
          <w:tcPr>
            <w:tcW w:w="1710" w:type="dxa"/>
            <w:shd w:val="clear" w:color="auto" w:fill="auto"/>
            <w:noWrap/>
            <w:vAlign w:val="center"/>
            <w:hideMark/>
          </w:tcPr>
          <w:p w:rsidR="00C90DFE" w:rsidRPr="001F40F1" w:rsidRDefault="00C90DFE" w:rsidP="00E55775">
            <w:pPr>
              <w:jc w:val="right"/>
              <w:rPr>
                <w:color w:val="000000"/>
                <w:sz w:val="22"/>
                <w:lang w:val="en-PH"/>
              </w:rPr>
            </w:pPr>
            <w:r w:rsidRPr="001F40F1">
              <w:rPr>
                <w:color w:val="000000"/>
                <w:sz w:val="22"/>
                <w:lang w:val="en-PH"/>
              </w:rPr>
              <w:t>179,206.70</w:t>
            </w:r>
          </w:p>
        </w:tc>
      </w:tr>
      <w:tr w:rsidR="00C90DFE" w:rsidRPr="001F40F1" w:rsidTr="00991002">
        <w:trPr>
          <w:trHeight w:val="270"/>
        </w:trPr>
        <w:tc>
          <w:tcPr>
            <w:tcW w:w="4140" w:type="dxa"/>
            <w:shd w:val="clear" w:color="auto" w:fill="auto"/>
            <w:noWrap/>
            <w:vAlign w:val="bottom"/>
            <w:hideMark/>
          </w:tcPr>
          <w:p w:rsidR="00C90DFE" w:rsidRPr="001F40F1" w:rsidRDefault="00C90DFE" w:rsidP="00E55775">
            <w:pPr>
              <w:rPr>
                <w:b/>
                <w:bCs/>
                <w:color w:val="000000"/>
                <w:sz w:val="22"/>
                <w:lang w:val="en-PH"/>
              </w:rPr>
            </w:pPr>
            <w:r w:rsidRPr="001F40F1">
              <w:rPr>
                <w:b/>
                <w:bCs/>
                <w:color w:val="000000"/>
                <w:sz w:val="22"/>
                <w:lang w:val="en-PH"/>
              </w:rPr>
              <w:t>Total</w:t>
            </w:r>
          </w:p>
        </w:tc>
        <w:tc>
          <w:tcPr>
            <w:tcW w:w="1890" w:type="dxa"/>
            <w:shd w:val="clear" w:color="auto" w:fill="auto"/>
            <w:noWrap/>
            <w:vAlign w:val="bottom"/>
            <w:hideMark/>
          </w:tcPr>
          <w:p w:rsidR="00C90DFE" w:rsidRPr="001F40F1" w:rsidRDefault="00C467F8" w:rsidP="00E55775">
            <w:pPr>
              <w:jc w:val="right"/>
              <w:rPr>
                <w:b/>
                <w:bCs/>
                <w:color w:val="000000"/>
                <w:sz w:val="22"/>
                <w:lang w:val="en-PH"/>
              </w:rPr>
            </w:pPr>
            <w:r w:rsidRPr="001F40F1">
              <w:rPr>
                <w:b/>
                <w:bCs/>
                <w:color w:val="000000"/>
                <w:sz w:val="22"/>
                <w:lang w:val="en-PH"/>
              </w:rPr>
              <w:t>5,898,473.26</w:t>
            </w:r>
          </w:p>
        </w:tc>
        <w:tc>
          <w:tcPr>
            <w:tcW w:w="1710" w:type="dxa"/>
            <w:shd w:val="clear" w:color="auto" w:fill="auto"/>
            <w:noWrap/>
            <w:vAlign w:val="bottom"/>
            <w:hideMark/>
          </w:tcPr>
          <w:p w:rsidR="00C90DFE" w:rsidRPr="001F40F1" w:rsidRDefault="00AB64E3" w:rsidP="00E55775">
            <w:pPr>
              <w:jc w:val="right"/>
              <w:rPr>
                <w:b/>
                <w:bCs/>
                <w:color w:val="000000"/>
                <w:sz w:val="22"/>
                <w:lang w:val="en-PH"/>
              </w:rPr>
            </w:pPr>
            <w:r w:rsidRPr="001F40F1">
              <w:rPr>
                <w:b/>
                <w:bCs/>
                <w:color w:val="000000"/>
                <w:sz w:val="22"/>
                <w:lang w:val="en-PH"/>
              </w:rPr>
              <w:t>5,449,488.29</w:t>
            </w:r>
          </w:p>
        </w:tc>
      </w:tr>
    </w:tbl>
    <w:p w:rsidR="00C90DFE" w:rsidRDefault="00C90DFE" w:rsidP="00124F98">
      <w:pPr>
        <w:tabs>
          <w:tab w:val="left" w:pos="360"/>
          <w:tab w:val="left" w:pos="450"/>
          <w:tab w:val="left" w:pos="900"/>
        </w:tabs>
        <w:jc w:val="both"/>
        <w:rPr>
          <w:b/>
          <w:sz w:val="24"/>
          <w:szCs w:val="24"/>
        </w:rPr>
      </w:pPr>
    </w:p>
    <w:p w:rsidR="00C90DFE" w:rsidRDefault="00D6725C" w:rsidP="00A010EE">
      <w:pPr>
        <w:pStyle w:val="BodyTextIndent"/>
        <w:numPr>
          <w:ilvl w:val="1"/>
          <w:numId w:val="18"/>
        </w:numPr>
        <w:ind w:left="993" w:hanging="567"/>
        <w:rPr>
          <w:b/>
          <w:szCs w:val="24"/>
        </w:rPr>
      </w:pPr>
      <w:r w:rsidRPr="00D6725C">
        <w:rPr>
          <w:b/>
          <w:szCs w:val="24"/>
        </w:rPr>
        <w:t>Other Personnel Benefits</w:t>
      </w:r>
    </w:p>
    <w:p w:rsidR="00D6725C" w:rsidRDefault="00D6725C" w:rsidP="00D6725C">
      <w:pPr>
        <w:tabs>
          <w:tab w:val="left" w:pos="450"/>
          <w:tab w:val="left" w:pos="900"/>
        </w:tabs>
        <w:ind w:left="426" w:hanging="142"/>
        <w:jc w:val="both"/>
        <w:rPr>
          <w:b/>
          <w:sz w:val="24"/>
          <w:szCs w:val="24"/>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C467F8" w:rsidRPr="001F40F1" w:rsidTr="00991002">
        <w:trPr>
          <w:trHeight w:val="260"/>
          <w:tblHeader/>
        </w:trPr>
        <w:tc>
          <w:tcPr>
            <w:tcW w:w="4140" w:type="dxa"/>
            <w:shd w:val="clear" w:color="auto" w:fill="auto"/>
            <w:noWrap/>
            <w:vAlign w:val="center"/>
            <w:hideMark/>
          </w:tcPr>
          <w:p w:rsidR="00C467F8" w:rsidRPr="001F40F1" w:rsidRDefault="00C467F8" w:rsidP="00E55775">
            <w:pPr>
              <w:jc w:val="center"/>
              <w:rPr>
                <w:b/>
                <w:bCs/>
                <w:color w:val="000000"/>
                <w:sz w:val="22"/>
                <w:lang w:val="en-PH"/>
              </w:rPr>
            </w:pPr>
            <w:r w:rsidRPr="001F40F1">
              <w:rPr>
                <w:b/>
                <w:bCs/>
                <w:color w:val="000000"/>
                <w:sz w:val="22"/>
                <w:lang w:val="en-PH"/>
              </w:rPr>
              <w:t>Account Title</w:t>
            </w:r>
          </w:p>
        </w:tc>
        <w:tc>
          <w:tcPr>
            <w:tcW w:w="1890" w:type="dxa"/>
            <w:shd w:val="clear" w:color="auto" w:fill="auto"/>
            <w:noWrap/>
            <w:vAlign w:val="center"/>
            <w:hideMark/>
          </w:tcPr>
          <w:p w:rsidR="00C467F8" w:rsidRPr="001F40F1" w:rsidRDefault="00C467F8" w:rsidP="00E55775">
            <w:pPr>
              <w:jc w:val="center"/>
              <w:rPr>
                <w:b/>
                <w:bCs/>
                <w:color w:val="000000"/>
                <w:sz w:val="22"/>
                <w:lang w:val="en-PH"/>
              </w:rPr>
            </w:pPr>
            <w:r w:rsidRPr="001F40F1">
              <w:rPr>
                <w:b/>
                <w:bCs/>
                <w:color w:val="000000"/>
                <w:sz w:val="22"/>
                <w:lang w:val="en-PH"/>
              </w:rPr>
              <w:t> 2016</w:t>
            </w:r>
          </w:p>
        </w:tc>
        <w:tc>
          <w:tcPr>
            <w:tcW w:w="1710" w:type="dxa"/>
            <w:shd w:val="clear" w:color="auto" w:fill="auto"/>
            <w:noWrap/>
            <w:vAlign w:val="center"/>
            <w:hideMark/>
          </w:tcPr>
          <w:p w:rsidR="00C467F8" w:rsidRPr="001F40F1" w:rsidRDefault="00C467F8" w:rsidP="00E55775">
            <w:pPr>
              <w:jc w:val="center"/>
              <w:rPr>
                <w:b/>
                <w:bCs/>
                <w:color w:val="000000"/>
                <w:sz w:val="22"/>
                <w:lang w:val="en-PH"/>
              </w:rPr>
            </w:pPr>
            <w:r w:rsidRPr="001F40F1">
              <w:rPr>
                <w:b/>
                <w:bCs/>
                <w:color w:val="000000"/>
                <w:sz w:val="22"/>
                <w:lang w:val="en-PH"/>
              </w:rPr>
              <w:t>2015 </w:t>
            </w:r>
          </w:p>
        </w:tc>
      </w:tr>
      <w:tr w:rsidR="00C467F8" w:rsidRPr="001F40F1" w:rsidTr="00991002">
        <w:trPr>
          <w:trHeight w:val="255"/>
        </w:trPr>
        <w:tc>
          <w:tcPr>
            <w:tcW w:w="4140" w:type="dxa"/>
            <w:shd w:val="clear" w:color="auto" w:fill="auto"/>
            <w:noWrap/>
            <w:vAlign w:val="center"/>
            <w:hideMark/>
          </w:tcPr>
          <w:p w:rsidR="00C467F8" w:rsidRPr="001F40F1" w:rsidRDefault="00C467F8" w:rsidP="00E55775">
            <w:pPr>
              <w:rPr>
                <w:color w:val="000000"/>
                <w:sz w:val="22"/>
                <w:lang w:val="en-PH"/>
              </w:rPr>
            </w:pPr>
            <w:r w:rsidRPr="001F40F1">
              <w:rPr>
                <w:color w:val="000000"/>
                <w:sz w:val="22"/>
              </w:rPr>
              <w:t>Terminal Leave Benefits</w:t>
            </w:r>
          </w:p>
        </w:tc>
        <w:tc>
          <w:tcPr>
            <w:tcW w:w="1890" w:type="dxa"/>
            <w:shd w:val="clear" w:color="auto" w:fill="auto"/>
            <w:noWrap/>
            <w:vAlign w:val="center"/>
            <w:hideMark/>
          </w:tcPr>
          <w:p w:rsidR="00C467F8" w:rsidRPr="001F40F1" w:rsidRDefault="00C467F8" w:rsidP="00E55775">
            <w:pPr>
              <w:jc w:val="right"/>
              <w:rPr>
                <w:color w:val="000000"/>
                <w:sz w:val="22"/>
                <w:lang w:val="en-PH"/>
              </w:rPr>
            </w:pPr>
            <w:r w:rsidRPr="001F40F1">
              <w:rPr>
                <w:color w:val="000000"/>
                <w:sz w:val="22"/>
                <w:lang w:val="en-PH"/>
              </w:rPr>
              <w:t>227,791.68</w:t>
            </w:r>
          </w:p>
        </w:tc>
        <w:tc>
          <w:tcPr>
            <w:tcW w:w="1710" w:type="dxa"/>
            <w:shd w:val="clear" w:color="auto" w:fill="auto"/>
            <w:noWrap/>
            <w:vAlign w:val="center"/>
            <w:hideMark/>
          </w:tcPr>
          <w:p w:rsidR="00C467F8" w:rsidRPr="001F40F1" w:rsidRDefault="00C467F8" w:rsidP="00E55775">
            <w:pPr>
              <w:jc w:val="right"/>
              <w:rPr>
                <w:color w:val="000000"/>
                <w:sz w:val="22"/>
                <w:lang w:val="en-PH"/>
              </w:rPr>
            </w:pPr>
            <w:r w:rsidRPr="001F40F1">
              <w:rPr>
                <w:color w:val="000000"/>
                <w:sz w:val="22"/>
                <w:lang w:val="en-PH"/>
              </w:rPr>
              <w:t>116,913.82</w:t>
            </w:r>
          </w:p>
        </w:tc>
      </w:tr>
      <w:tr w:rsidR="00C467F8" w:rsidRPr="001F40F1" w:rsidTr="00991002">
        <w:trPr>
          <w:trHeight w:val="255"/>
        </w:trPr>
        <w:tc>
          <w:tcPr>
            <w:tcW w:w="4140" w:type="dxa"/>
            <w:shd w:val="clear" w:color="auto" w:fill="auto"/>
            <w:noWrap/>
            <w:vAlign w:val="center"/>
            <w:hideMark/>
          </w:tcPr>
          <w:p w:rsidR="00C467F8" w:rsidRPr="001F40F1" w:rsidRDefault="00C467F8" w:rsidP="00E55775">
            <w:pPr>
              <w:rPr>
                <w:color w:val="000000"/>
                <w:sz w:val="22"/>
                <w:lang w:val="en-PH"/>
              </w:rPr>
            </w:pPr>
            <w:r w:rsidRPr="001F40F1">
              <w:rPr>
                <w:color w:val="000000"/>
                <w:sz w:val="22"/>
              </w:rPr>
              <w:t>Other Personnel Benefits</w:t>
            </w:r>
          </w:p>
        </w:tc>
        <w:tc>
          <w:tcPr>
            <w:tcW w:w="1890" w:type="dxa"/>
            <w:shd w:val="clear" w:color="auto" w:fill="auto"/>
            <w:noWrap/>
            <w:vAlign w:val="center"/>
            <w:hideMark/>
          </w:tcPr>
          <w:p w:rsidR="00C467F8" w:rsidRPr="001F40F1" w:rsidRDefault="00C467F8" w:rsidP="00E55775">
            <w:pPr>
              <w:jc w:val="right"/>
              <w:rPr>
                <w:color w:val="000000"/>
                <w:sz w:val="22"/>
                <w:lang w:val="en-PH"/>
              </w:rPr>
            </w:pPr>
            <w:r w:rsidRPr="001F40F1">
              <w:rPr>
                <w:color w:val="000000"/>
                <w:sz w:val="22"/>
                <w:lang w:val="en-PH"/>
              </w:rPr>
              <w:t>1,689,229.60</w:t>
            </w:r>
          </w:p>
        </w:tc>
        <w:tc>
          <w:tcPr>
            <w:tcW w:w="1710" w:type="dxa"/>
            <w:shd w:val="clear" w:color="auto" w:fill="auto"/>
            <w:noWrap/>
            <w:vAlign w:val="center"/>
            <w:hideMark/>
          </w:tcPr>
          <w:p w:rsidR="00C467F8" w:rsidRPr="001F40F1" w:rsidRDefault="00C467F8" w:rsidP="00E55775">
            <w:pPr>
              <w:jc w:val="right"/>
              <w:rPr>
                <w:color w:val="000000"/>
                <w:sz w:val="22"/>
                <w:lang w:val="en-PH"/>
              </w:rPr>
            </w:pPr>
            <w:r w:rsidRPr="001F40F1">
              <w:rPr>
                <w:color w:val="000000"/>
                <w:sz w:val="22"/>
                <w:lang w:val="en-PH"/>
              </w:rPr>
              <w:t>1,401,804.86</w:t>
            </w:r>
          </w:p>
        </w:tc>
      </w:tr>
      <w:tr w:rsidR="00C467F8" w:rsidRPr="001F40F1" w:rsidTr="00991002">
        <w:trPr>
          <w:trHeight w:val="270"/>
        </w:trPr>
        <w:tc>
          <w:tcPr>
            <w:tcW w:w="4140" w:type="dxa"/>
            <w:shd w:val="clear" w:color="auto" w:fill="auto"/>
            <w:noWrap/>
            <w:vAlign w:val="bottom"/>
            <w:hideMark/>
          </w:tcPr>
          <w:p w:rsidR="00C467F8" w:rsidRPr="001F40F1" w:rsidRDefault="00C467F8" w:rsidP="00E55775">
            <w:pPr>
              <w:rPr>
                <w:b/>
                <w:bCs/>
                <w:color w:val="000000"/>
                <w:sz w:val="22"/>
                <w:lang w:val="en-PH"/>
              </w:rPr>
            </w:pPr>
            <w:r w:rsidRPr="001F40F1">
              <w:rPr>
                <w:b/>
                <w:bCs/>
                <w:color w:val="000000"/>
                <w:sz w:val="22"/>
                <w:lang w:val="en-PH"/>
              </w:rPr>
              <w:t>Total</w:t>
            </w:r>
          </w:p>
        </w:tc>
        <w:tc>
          <w:tcPr>
            <w:tcW w:w="1890" w:type="dxa"/>
            <w:shd w:val="clear" w:color="auto" w:fill="auto"/>
            <w:noWrap/>
            <w:vAlign w:val="bottom"/>
            <w:hideMark/>
          </w:tcPr>
          <w:p w:rsidR="00C467F8" w:rsidRPr="001F40F1" w:rsidRDefault="00835FDB" w:rsidP="00E55775">
            <w:pPr>
              <w:jc w:val="right"/>
              <w:rPr>
                <w:b/>
                <w:bCs/>
                <w:color w:val="000000"/>
                <w:sz w:val="22"/>
                <w:lang w:val="en-PH"/>
              </w:rPr>
            </w:pPr>
            <w:r w:rsidRPr="001F40F1">
              <w:rPr>
                <w:b/>
                <w:bCs/>
                <w:color w:val="000000"/>
                <w:sz w:val="22"/>
                <w:lang w:val="en-PH"/>
              </w:rPr>
              <w:t>1,917,021.28</w:t>
            </w:r>
          </w:p>
        </w:tc>
        <w:tc>
          <w:tcPr>
            <w:tcW w:w="1710" w:type="dxa"/>
            <w:shd w:val="clear" w:color="auto" w:fill="auto"/>
            <w:noWrap/>
            <w:vAlign w:val="bottom"/>
            <w:hideMark/>
          </w:tcPr>
          <w:p w:rsidR="00C467F8" w:rsidRPr="001F40F1" w:rsidRDefault="002D1E86" w:rsidP="00E55775">
            <w:pPr>
              <w:jc w:val="right"/>
              <w:rPr>
                <w:b/>
                <w:bCs/>
                <w:color w:val="000000"/>
                <w:sz w:val="22"/>
                <w:lang w:val="en-PH"/>
              </w:rPr>
            </w:pPr>
            <w:r w:rsidRPr="001F40F1">
              <w:rPr>
                <w:b/>
                <w:bCs/>
                <w:color w:val="000000"/>
                <w:sz w:val="22"/>
                <w:lang w:val="en-PH"/>
              </w:rPr>
              <w:t>1,518,718.68</w:t>
            </w:r>
          </w:p>
        </w:tc>
      </w:tr>
    </w:tbl>
    <w:p w:rsidR="006F7F88" w:rsidRDefault="006F7F88" w:rsidP="00124F98">
      <w:pPr>
        <w:tabs>
          <w:tab w:val="left" w:pos="360"/>
          <w:tab w:val="left" w:pos="450"/>
          <w:tab w:val="left" w:pos="900"/>
        </w:tabs>
        <w:jc w:val="both"/>
        <w:rPr>
          <w:b/>
          <w:sz w:val="24"/>
          <w:szCs w:val="24"/>
        </w:rPr>
      </w:pPr>
    </w:p>
    <w:p w:rsidR="00580690" w:rsidRDefault="00F17089" w:rsidP="00A010EE">
      <w:pPr>
        <w:pStyle w:val="BodyTextIndent"/>
        <w:numPr>
          <w:ilvl w:val="0"/>
          <w:numId w:val="18"/>
        </w:numPr>
        <w:ind w:left="426" w:hanging="426"/>
        <w:rPr>
          <w:b/>
          <w:szCs w:val="24"/>
        </w:rPr>
      </w:pPr>
      <w:r>
        <w:rPr>
          <w:b/>
          <w:szCs w:val="24"/>
        </w:rPr>
        <w:t>Maintenance and Other Operating Expenses</w:t>
      </w:r>
    </w:p>
    <w:p w:rsidR="00F17089" w:rsidRDefault="00F17089" w:rsidP="00124F98">
      <w:pPr>
        <w:tabs>
          <w:tab w:val="left" w:pos="360"/>
          <w:tab w:val="left" w:pos="450"/>
          <w:tab w:val="left" w:pos="900"/>
        </w:tabs>
        <w:jc w:val="both"/>
        <w:rPr>
          <w:b/>
          <w:sz w:val="24"/>
          <w:szCs w:val="24"/>
        </w:rPr>
      </w:pPr>
    </w:p>
    <w:p w:rsidR="00F17089" w:rsidRDefault="00F17089" w:rsidP="00A010EE">
      <w:pPr>
        <w:ind w:left="426"/>
        <w:jc w:val="both"/>
        <w:rPr>
          <w:bCs/>
          <w:color w:val="000000"/>
          <w:sz w:val="24"/>
          <w:szCs w:val="24"/>
        </w:rPr>
      </w:pPr>
      <w:r w:rsidRPr="00940833">
        <w:rPr>
          <w:sz w:val="24"/>
        </w:rPr>
        <w:t>This</w:t>
      </w:r>
      <w:r w:rsidR="005F0B67">
        <w:rPr>
          <w:sz w:val="24"/>
        </w:rPr>
        <w:t xml:space="preserve"> </w:t>
      </w:r>
      <w:r w:rsidR="00E56A7C">
        <w:rPr>
          <w:bCs/>
          <w:color w:val="000000"/>
          <w:sz w:val="24"/>
          <w:szCs w:val="24"/>
        </w:rPr>
        <w:t>consists of the following accounts:</w:t>
      </w:r>
    </w:p>
    <w:p w:rsidR="00D85387" w:rsidRPr="00D85387" w:rsidRDefault="00D85387" w:rsidP="00A6416C">
      <w:pPr>
        <w:tabs>
          <w:tab w:val="left" w:pos="360"/>
        </w:tabs>
        <w:ind w:left="360"/>
        <w:jc w:val="both"/>
        <w:rPr>
          <w:b/>
          <w:bCs/>
          <w:color w:val="000000"/>
          <w:sz w:val="24"/>
          <w:szCs w:val="24"/>
        </w:rPr>
      </w:pPr>
    </w:p>
    <w:p w:rsidR="00D85387" w:rsidRPr="00D85387" w:rsidRDefault="00D85387" w:rsidP="00A010EE">
      <w:pPr>
        <w:pStyle w:val="BodyTextIndent"/>
        <w:numPr>
          <w:ilvl w:val="1"/>
          <w:numId w:val="18"/>
        </w:numPr>
        <w:ind w:left="993" w:hanging="567"/>
        <w:rPr>
          <w:b/>
          <w:bCs/>
          <w:color w:val="000000"/>
          <w:szCs w:val="24"/>
        </w:rPr>
      </w:pPr>
      <w:r w:rsidRPr="00D85387">
        <w:rPr>
          <w:b/>
          <w:bCs/>
          <w:color w:val="000000"/>
          <w:szCs w:val="24"/>
        </w:rPr>
        <w:t>Traveling Expenses</w:t>
      </w:r>
    </w:p>
    <w:p w:rsidR="000C5270" w:rsidRDefault="000C5270" w:rsidP="00124F98">
      <w:pPr>
        <w:tabs>
          <w:tab w:val="left" w:pos="360"/>
        </w:tabs>
        <w:ind w:left="360"/>
        <w:jc w:val="both"/>
        <w:rPr>
          <w:bCs/>
          <w:color w:val="000000"/>
          <w:sz w:val="24"/>
          <w:szCs w:val="24"/>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A6416C" w:rsidRPr="0024732C" w:rsidTr="00991002">
        <w:trPr>
          <w:trHeight w:val="70"/>
          <w:tblHeader/>
        </w:trPr>
        <w:tc>
          <w:tcPr>
            <w:tcW w:w="4140" w:type="dxa"/>
            <w:shd w:val="clear" w:color="auto" w:fill="auto"/>
            <w:noWrap/>
            <w:vAlign w:val="center"/>
            <w:hideMark/>
          </w:tcPr>
          <w:p w:rsidR="00A6416C" w:rsidRPr="0024732C" w:rsidRDefault="00A6416C" w:rsidP="005118ED">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A6416C" w:rsidRPr="0024732C" w:rsidRDefault="00A6416C" w:rsidP="005118ED">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A6416C" w:rsidRPr="0024732C" w:rsidRDefault="00A6416C" w:rsidP="005118ED">
            <w:pPr>
              <w:jc w:val="center"/>
              <w:rPr>
                <w:b/>
                <w:bCs/>
                <w:sz w:val="22"/>
                <w:lang w:val="en-PH"/>
              </w:rPr>
            </w:pPr>
            <w:r w:rsidRPr="0024732C">
              <w:rPr>
                <w:b/>
                <w:bCs/>
                <w:color w:val="000000"/>
                <w:sz w:val="22"/>
                <w:lang w:val="en-PH"/>
              </w:rPr>
              <w:t>2015</w:t>
            </w:r>
          </w:p>
        </w:tc>
      </w:tr>
      <w:tr w:rsidR="00A6416C" w:rsidRPr="0024732C" w:rsidTr="00991002">
        <w:trPr>
          <w:trHeight w:val="259"/>
        </w:trPr>
        <w:tc>
          <w:tcPr>
            <w:tcW w:w="4140" w:type="dxa"/>
            <w:shd w:val="clear" w:color="auto" w:fill="auto"/>
            <w:noWrap/>
            <w:vAlign w:val="center"/>
            <w:hideMark/>
          </w:tcPr>
          <w:p w:rsidR="00A6416C" w:rsidRPr="0024732C" w:rsidRDefault="00A6416C" w:rsidP="005118ED">
            <w:pPr>
              <w:rPr>
                <w:sz w:val="22"/>
                <w:lang w:val="en-PH"/>
              </w:rPr>
            </w:pPr>
            <w:r w:rsidRPr="0024732C">
              <w:rPr>
                <w:sz w:val="22"/>
                <w:lang w:val="en-PH"/>
              </w:rPr>
              <w:t>Traveling Expenses - Local</w:t>
            </w:r>
          </w:p>
        </w:tc>
        <w:tc>
          <w:tcPr>
            <w:tcW w:w="1890" w:type="dxa"/>
            <w:shd w:val="clear" w:color="auto" w:fill="auto"/>
            <w:noWrap/>
            <w:vAlign w:val="center"/>
            <w:hideMark/>
          </w:tcPr>
          <w:p w:rsidR="00A6416C" w:rsidRPr="0024732C" w:rsidRDefault="00A6416C" w:rsidP="005118ED">
            <w:pPr>
              <w:jc w:val="right"/>
              <w:rPr>
                <w:sz w:val="22"/>
                <w:lang w:val="en-PH"/>
              </w:rPr>
            </w:pPr>
            <w:r w:rsidRPr="0024732C">
              <w:rPr>
                <w:sz w:val="22"/>
                <w:lang w:val="en-PH"/>
              </w:rPr>
              <w:t>4,456,400.04</w:t>
            </w:r>
          </w:p>
        </w:tc>
        <w:tc>
          <w:tcPr>
            <w:tcW w:w="1710" w:type="dxa"/>
            <w:shd w:val="clear" w:color="auto" w:fill="auto"/>
            <w:noWrap/>
            <w:vAlign w:val="center"/>
            <w:hideMark/>
          </w:tcPr>
          <w:p w:rsidR="00A6416C" w:rsidRPr="0024732C" w:rsidRDefault="00A6416C" w:rsidP="005118ED">
            <w:pPr>
              <w:jc w:val="right"/>
              <w:rPr>
                <w:sz w:val="22"/>
                <w:lang w:val="en-PH"/>
              </w:rPr>
            </w:pPr>
            <w:r w:rsidRPr="0024732C">
              <w:rPr>
                <w:sz w:val="22"/>
                <w:lang w:val="en-PH"/>
              </w:rPr>
              <w:t>6793976.21</w:t>
            </w:r>
          </w:p>
        </w:tc>
      </w:tr>
      <w:tr w:rsidR="00A6416C" w:rsidRPr="0024732C" w:rsidTr="00991002">
        <w:trPr>
          <w:trHeight w:val="259"/>
        </w:trPr>
        <w:tc>
          <w:tcPr>
            <w:tcW w:w="4140" w:type="dxa"/>
            <w:shd w:val="clear" w:color="auto" w:fill="auto"/>
            <w:noWrap/>
            <w:vAlign w:val="center"/>
            <w:hideMark/>
          </w:tcPr>
          <w:p w:rsidR="00A6416C" w:rsidRPr="0024732C" w:rsidRDefault="00A6416C" w:rsidP="005118ED">
            <w:pPr>
              <w:rPr>
                <w:sz w:val="22"/>
                <w:lang w:val="en-PH"/>
              </w:rPr>
            </w:pPr>
            <w:r w:rsidRPr="0024732C">
              <w:rPr>
                <w:sz w:val="22"/>
                <w:lang w:val="en-PH"/>
              </w:rPr>
              <w:t>Traveling Expenses - Foreign</w:t>
            </w:r>
          </w:p>
        </w:tc>
        <w:tc>
          <w:tcPr>
            <w:tcW w:w="1890" w:type="dxa"/>
            <w:shd w:val="clear" w:color="auto" w:fill="auto"/>
            <w:noWrap/>
            <w:vAlign w:val="center"/>
            <w:hideMark/>
          </w:tcPr>
          <w:p w:rsidR="00A6416C" w:rsidRPr="0024732C" w:rsidRDefault="00A6416C" w:rsidP="005118ED">
            <w:pPr>
              <w:jc w:val="right"/>
              <w:rPr>
                <w:sz w:val="22"/>
                <w:lang w:val="en-PH"/>
              </w:rPr>
            </w:pPr>
            <w:r w:rsidRPr="0024732C">
              <w:rPr>
                <w:sz w:val="22"/>
                <w:lang w:val="en-PH"/>
              </w:rPr>
              <w:t>309,589.00</w:t>
            </w:r>
          </w:p>
        </w:tc>
        <w:tc>
          <w:tcPr>
            <w:tcW w:w="1710" w:type="dxa"/>
            <w:shd w:val="clear" w:color="auto" w:fill="auto"/>
            <w:noWrap/>
            <w:vAlign w:val="center"/>
            <w:hideMark/>
          </w:tcPr>
          <w:p w:rsidR="00A6416C" w:rsidRPr="0024732C" w:rsidRDefault="00A6416C" w:rsidP="005118ED">
            <w:pPr>
              <w:jc w:val="right"/>
              <w:rPr>
                <w:sz w:val="22"/>
                <w:lang w:val="en-PH"/>
              </w:rPr>
            </w:pPr>
            <w:r w:rsidRPr="0024732C">
              <w:rPr>
                <w:sz w:val="22"/>
                <w:lang w:val="en-PH"/>
              </w:rPr>
              <w:t>470,047.10</w:t>
            </w:r>
          </w:p>
        </w:tc>
      </w:tr>
      <w:tr w:rsidR="00A6416C" w:rsidRPr="0024732C" w:rsidTr="00991002">
        <w:trPr>
          <w:trHeight w:val="259"/>
        </w:trPr>
        <w:tc>
          <w:tcPr>
            <w:tcW w:w="4140" w:type="dxa"/>
            <w:shd w:val="clear" w:color="auto" w:fill="auto"/>
            <w:noWrap/>
            <w:vAlign w:val="bottom"/>
            <w:hideMark/>
          </w:tcPr>
          <w:p w:rsidR="00A6416C" w:rsidRPr="0024732C" w:rsidRDefault="00A6416C" w:rsidP="005118ED">
            <w:pPr>
              <w:rPr>
                <w:b/>
                <w:bCs/>
                <w:sz w:val="22"/>
                <w:lang w:val="en-PH"/>
              </w:rPr>
            </w:pPr>
            <w:r w:rsidRPr="0024732C">
              <w:rPr>
                <w:b/>
                <w:bCs/>
                <w:sz w:val="22"/>
                <w:lang w:val="en-PH"/>
              </w:rPr>
              <w:t>Total</w:t>
            </w:r>
          </w:p>
        </w:tc>
        <w:tc>
          <w:tcPr>
            <w:tcW w:w="1890" w:type="dxa"/>
            <w:shd w:val="clear" w:color="auto" w:fill="auto"/>
            <w:noWrap/>
            <w:vAlign w:val="bottom"/>
            <w:hideMark/>
          </w:tcPr>
          <w:p w:rsidR="00A6416C" w:rsidRPr="0024732C" w:rsidRDefault="00D85387" w:rsidP="005118ED">
            <w:pPr>
              <w:jc w:val="right"/>
              <w:rPr>
                <w:b/>
                <w:bCs/>
                <w:sz w:val="22"/>
                <w:lang w:val="en-PH"/>
              </w:rPr>
            </w:pPr>
            <w:r w:rsidRPr="0024732C">
              <w:rPr>
                <w:b/>
                <w:bCs/>
                <w:sz w:val="22"/>
                <w:lang w:val="en-PH"/>
              </w:rPr>
              <w:t>4,765,989.04</w:t>
            </w:r>
          </w:p>
        </w:tc>
        <w:tc>
          <w:tcPr>
            <w:tcW w:w="1710" w:type="dxa"/>
            <w:shd w:val="clear" w:color="auto" w:fill="auto"/>
            <w:noWrap/>
            <w:vAlign w:val="bottom"/>
            <w:hideMark/>
          </w:tcPr>
          <w:p w:rsidR="00A6416C" w:rsidRPr="0024732C" w:rsidRDefault="00064F2A" w:rsidP="005118ED">
            <w:pPr>
              <w:jc w:val="right"/>
              <w:rPr>
                <w:b/>
                <w:bCs/>
                <w:sz w:val="22"/>
                <w:lang w:val="en-PH"/>
              </w:rPr>
            </w:pPr>
            <w:r w:rsidRPr="0024732C">
              <w:rPr>
                <w:b/>
                <w:bCs/>
                <w:sz w:val="22"/>
                <w:lang w:val="en-PH"/>
              </w:rPr>
              <w:t>7,264,023.31</w:t>
            </w:r>
          </w:p>
        </w:tc>
      </w:tr>
    </w:tbl>
    <w:p w:rsidR="00C74747" w:rsidRDefault="00C74747" w:rsidP="00124F98">
      <w:pPr>
        <w:tabs>
          <w:tab w:val="left" w:pos="360"/>
          <w:tab w:val="left" w:pos="900"/>
          <w:tab w:val="left" w:pos="1080"/>
          <w:tab w:val="left" w:pos="1350"/>
          <w:tab w:val="left" w:pos="2160"/>
        </w:tabs>
        <w:jc w:val="both"/>
        <w:rPr>
          <w:b/>
          <w:sz w:val="24"/>
          <w:szCs w:val="24"/>
        </w:rPr>
      </w:pPr>
    </w:p>
    <w:p w:rsidR="001304F2" w:rsidRPr="00012FAC" w:rsidRDefault="00012FAC" w:rsidP="00A010EE">
      <w:pPr>
        <w:pStyle w:val="BodyTextIndent"/>
        <w:numPr>
          <w:ilvl w:val="1"/>
          <w:numId w:val="18"/>
        </w:numPr>
        <w:ind w:left="993" w:hanging="567"/>
        <w:rPr>
          <w:b/>
          <w:bCs/>
          <w:color w:val="000000"/>
          <w:szCs w:val="24"/>
        </w:rPr>
      </w:pPr>
      <w:r w:rsidRPr="00012FAC">
        <w:rPr>
          <w:b/>
          <w:bCs/>
          <w:color w:val="000000"/>
          <w:szCs w:val="24"/>
        </w:rPr>
        <w:t>Training and Scholarship Expenses</w:t>
      </w:r>
    </w:p>
    <w:p w:rsidR="00012FAC" w:rsidRDefault="00012FAC" w:rsidP="00124F98">
      <w:pPr>
        <w:tabs>
          <w:tab w:val="left" w:pos="360"/>
          <w:tab w:val="left" w:pos="900"/>
          <w:tab w:val="left" w:pos="1080"/>
          <w:tab w:val="left" w:pos="1350"/>
          <w:tab w:val="left" w:pos="2160"/>
        </w:tabs>
        <w:jc w:val="both"/>
        <w:rPr>
          <w:b/>
          <w:sz w:val="24"/>
          <w:szCs w:val="24"/>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1304F2" w:rsidRPr="0024732C" w:rsidTr="00991002">
        <w:trPr>
          <w:trHeight w:val="255"/>
          <w:tblHeader/>
        </w:trPr>
        <w:tc>
          <w:tcPr>
            <w:tcW w:w="4140" w:type="dxa"/>
            <w:shd w:val="clear" w:color="auto" w:fill="auto"/>
            <w:noWrap/>
            <w:vAlign w:val="center"/>
            <w:hideMark/>
          </w:tcPr>
          <w:p w:rsidR="001304F2" w:rsidRPr="0024732C" w:rsidRDefault="001304F2" w:rsidP="00E55775">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1304F2" w:rsidRPr="0024732C" w:rsidRDefault="001304F2"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1304F2" w:rsidRPr="0024732C" w:rsidRDefault="001304F2" w:rsidP="00E55775">
            <w:pPr>
              <w:jc w:val="center"/>
              <w:rPr>
                <w:b/>
                <w:bCs/>
                <w:sz w:val="22"/>
                <w:lang w:val="en-PH"/>
              </w:rPr>
            </w:pPr>
            <w:r w:rsidRPr="0024732C">
              <w:rPr>
                <w:b/>
                <w:bCs/>
                <w:color w:val="000000"/>
                <w:sz w:val="22"/>
                <w:lang w:val="en-PH"/>
              </w:rPr>
              <w:t>2015</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Training Expenses</w:t>
            </w:r>
          </w:p>
        </w:tc>
        <w:tc>
          <w:tcPr>
            <w:tcW w:w="1890" w:type="dxa"/>
            <w:shd w:val="clear" w:color="auto" w:fill="auto"/>
            <w:noWrap/>
            <w:vAlign w:val="center"/>
            <w:hideMark/>
          </w:tcPr>
          <w:p w:rsidR="001304F2" w:rsidRPr="0024732C" w:rsidRDefault="001304F2" w:rsidP="00E55775">
            <w:pPr>
              <w:jc w:val="right"/>
              <w:rPr>
                <w:sz w:val="22"/>
                <w:lang w:val="en-PH"/>
              </w:rPr>
            </w:pPr>
            <w:r w:rsidRPr="0024732C">
              <w:rPr>
                <w:sz w:val="22"/>
                <w:lang w:val="en-PH"/>
              </w:rPr>
              <w:t>1,068,209.37</w:t>
            </w:r>
          </w:p>
        </w:tc>
        <w:tc>
          <w:tcPr>
            <w:tcW w:w="1710" w:type="dxa"/>
            <w:shd w:val="clear" w:color="auto" w:fill="auto"/>
            <w:noWrap/>
            <w:vAlign w:val="center"/>
            <w:hideMark/>
          </w:tcPr>
          <w:p w:rsidR="001304F2" w:rsidRPr="0024732C" w:rsidRDefault="001304F2" w:rsidP="00E55775">
            <w:pPr>
              <w:jc w:val="right"/>
              <w:rPr>
                <w:sz w:val="22"/>
                <w:lang w:val="en-PH"/>
              </w:rPr>
            </w:pPr>
            <w:r w:rsidRPr="0024732C">
              <w:rPr>
                <w:sz w:val="22"/>
                <w:lang w:val="en-PH"/>
              </w:rPr>
              <w:t>2058979.38</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Scholarship Grants/Expenses</w:t>
            </w:r>
          </w:p>
        </w:tc>
        <w:tc>
          <w:tcPr>
            <w:tcW w:w="1890" w:type="dxa"/>
            <w:shd w:val="clear" w:color="auto" w:fill="auto"/>
            <w:noWrap/>
            <w:vAlign w:val="center"/>
            <w:hideMark/>
          </w:tcPr>
          <w:p w:rsidR="001304F2" w:rsidRPr="0024732C" w:rsidRDefault="001304F2" w:rsidP="00E55775">
            <w:pPr>
              <w:jc w:val="right"/>
              <w:rPr>
                <w:sz w:val="22"/>
                <w:lang w:val="en-PH"/>
              </w:rPr>
            </w:pPr>
            <w:r w:rsidRPr="0024732C">
              <w:rPr>
                <w:sz w:val="22"/>
                <w:lang w:val="en-PH"/>
              </w:rPr>
              <w:t>2,879,532.00</w:t>
            </w:r>
          </w:p>
        </w:tc>
        <w:tc>
          <w:tcPr>
            <w:tcW w:w="1710" w:type="dxa"/>
            <w:shd w:val="clear" w:color="auto" w:fill="auto"/>
            <w:noWrap/>
            <w:vAlign w:val="center"/>
            <w:hideMark/>
          </w:tcPr>
          <w:p w:rsidR="001304F2" w:rsidRPr="0024732C" w:rsidRDefault="001304F2" w:rsidP="00E55775">
            <w:pPr>
              <w:jc w:val="right"/>
              <w:rPr>
                <w:sz w:val="22"/>
                <w:lang w:val="en-PH"/>
              </w:rPr>
            </w:pPr>
            <w:r w:rsidRPr="0024732C">
              <w:rPr>
                <w:sz w:val="22"/>
                <w:lang w:val="en-PH"/>
              </w:rPr>
              <w:t>2,897,850.00</w:t>
            </w:r>
          </w:p>
        </w:tc>
      </w:tr>
      <w:tr w:rsidR="001304F2" w:rsidRPr="0024732C" w:rsidTr="00991002">
        <w:trPr>
          <w:trHeight w:val="270"/>
        </w:trPr>
        <w:tc>
          <w:tcPr>
            <w:tcW w:w="4140" w:type="dxa"/>
            <w:shd w:val="clear" w:color="auto" w:fill="auto"/>
            <w:noWrap/>
            <w:vAlign w:val="bottom"/>
            <w:hideMark/>
          </w:tcPr>
          <w:p w:rsidR="001304F2" w:rsidRPr="0024732C" w:rsidRDefault="001304F2" w:rsidP="00E55775">
            <w:pPr>
              <w:rPr>
                <w:b/>
                <w:bCs/>
                <w:sz w:val="22"/>
                <w:lang w:val="en-PH"/>
              </w:rPr>
            </w:pPr>
            <w:r w:rsidRPr="0024732C">
              <w:rPr>
                <w:b/>
                <w:bCs/>
                <w:sz w:val="22"/>
                <w:lang w:val="en-PH"/>
              </w:rPr>
              <w:t>Total</w:t>
            </w:r>
          </w:p>
        </w:tc>
        <w:tc>
          <w:tcPr>
            <w:tcW w:w="1890" w:type="dxa"/>
            <w:shd w:val="clear" w:color="auto" w:fill="auto"/>
            <w:noWrap/>
            <w:vAlign w:val="bottom"/>
            <w:hideMark/>
          </w:tcPr>
          <w:p w:rsidR="001304F2" w:rsidRPr="0024732C" w:rsidRDefault="00012FAC" w:rsidP="00E55775">
            <w:pPr>
              <w:jc w:val="right"/>
              <w:rPr>
                <w:b/>
                <w:bCs/>
                <w:sz w:val="22"/>
                <w:lang w:val="en-PH"/>
              </w:rPr>
            </w:pPr>
            <w:r w:rsidRPr="0024732C">
              <w:rPr>
                <w:b/>
                <w:bCs/>
                <w:sz w:val="22"/>
                <w:lang w:val="en-PH"/>
              </w:rPr>
              <w:t>3,947,741.37</w:t>
            </w:r>
          </w:p>
        </w:tc>
        <w:tc>
          <w:tcPr>
            <w:tcW w:w="1710" w:type="dxa"/>
            <w:shd w:val="clear" w:color="auto" w:fill="auto"/>
            <w:noWrap/>
            <w:vAlign w:val="bottom"/>
            <w:hideMark/>
          </w:tcPr>
          <w:p w:rsidR="001304F2" w:rsidRPr="0024732C" w:rsidRDefault="00473676" w:rsidP="00E55775">
            <w:pPr>
              <w:jc w:val="right"/>
              <w:rPr>
                <w:b/>
                <w:bCs/>
                <w:sz w:val="22"/>
                <w:lang w:val="en-PH"/>
              </w:rPr>
            </w:pPr>
            <w:r w:rsidRPr="0024732C">
              <w:rPr>
                <w:b/>
                <w:bCs/>
                <w:sz w:val="22"/>
                <w:lang w:val="en-PH"/>
              </w:rPr>
              <w:t>4,956,829.38</w:t>
            </w:r>
          </w:p>
        </w:tc>
      </w:tr>
    </w:tbl>
    <w:p w:rsidR="00A010EE" w:rsidRDefault="00A010EE">
      <w:pPr>
        <w:rPr>
          <w:b/>
          <w:bCs/>
          <w:color w:val="000000"/>
          <w:sz w:val="24"/>
          <w:szCs w:val="24"/>
        </w:rPr>
      </w:pPr>
      <w:r>
        <w:rPr>
          <w:b/>
          <w:bCs/>
          <w:color w:val="000000"/>
          <w:sz w:val="24"/>
          <w:szCs w:val="24"/>
        </w:rPr>
        <w:br w:type="page"/>
      </w:r>
    </w:p>
    <w:p w:rsidR="001304F2" w:rsidRDefault="005D13CA" w:rsidP="00A010EE">
      <w:pPr>
        <w:pStyle w:val="BodyTextIndent"/>
        <w:numPr>
          <w:ilvl w:val="1"/>
          <w:numId w:val="18"/>
        </w:numPr>
        <w:ind w:left="993" w:hanging="567"/>
        <w:rPr>
          <w:b/>
          <w:szCs w:val="24"/>
        </w:rPr>
      </w:pPr>
      <w:r w:rsidRPr="005D13CA">
        <w:rPr>
          <w:b/>
          <w:bCs/>
          <w:color w:val="000000"/>
          <w:szCs w:val="24"/>
        </w:rPr>
        <w:lastRenderedPageBreak/>
        <w:t>Supplies and Materials Expenses</w:t>
      </w:r>
    </w:p>
    <w:p w:rsidR="001304F2" w:rsidRPr="00A010EE" w:rsidRDefault="001304F2" w:rsidP="00124F98">
      <w:pPr>
        <w:tabs>
          <w:tab w:val="left" w:pos="360"/>
          <w:tab w:val="left" w:pos="900"/>
          <w:tab w:val="left" w:pos="1080"/>
          <w:tab w:val="left" w:pos="1350"/>
          <w:tab w:val="left" w:pos="2160"/>
        </w:tabs>
        <w:jc w:val="both"/>
        <w:rPr>
          <w:b/>
          <w:sz w:val="18"/>
          <w:szCs w:val="18"/>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1304F2" w:rsidRPr="0024732C" w:rsidTr="00991002">
        <w:trPr>
          <w:trHeight w:val="255"/>
          <w:tblHeader/>
        </w:trPr>
        <w:tc>
          <w:tcPr>
            <w:tcW w:w="4140" w:type="dxa"/>
            <w:shd w:val="clear" w:color="auto" w:fill="auto"/>
            <w:noWrap/>
            <w:vAlign w:val="center"/>
            <w:hideMark/>
          </w:tcPr>
          <w:p w:rsidR="001304F2" w:rsidRPr="0024732C" w:rsidRDefault="001304F2" w:rsidP="00E55775">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1304F2" w:rsidRPr="0024732C" w:rsidRDefault="001304F2"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1304F2" w:rsidRPr="0024732C" w:rsidRDefault="001304F2" w:rsidP="00E55775">
            <w:pPr>
              <w:jc w:val="center"/>
              <w:rPr>
                <w:b/>
                <w:bCs/>
                <w:sz w:val="22"/>
                <w:lang w:val="en-PH"/>
              </w:rPr>
            </w:pPr>
            <w:r w:rsidRPr="0024732C">
              <w:rPr>
                <w:b/>
                <w:bCs/>
                <w:color w:val="000000"/>
                <w:sz w:val="22"/>
                <w:lang w:val="en-PH"/>
              </w:rPr>
              <w:t>2015</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Office Supplies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2,225,073.61</w:t>
            </w:r>
          </w:p>
        </w:tc>
        <w:tc>
          <w:tcPr>
            <w:tcW w:w="1710" w:type="dxa"/>
            <w:shd w:val="clear" w:color="auto" w:fill="auto"/>
            <w:noWrap/>
            <w:hideMark/>
          </w:tcPr>
          <w:p w:rsidR="001304F2" w:rsidRPr="0024732C" w:rsidRDefault="001304F2" w:rsidP="00955286">
            <w:pPr>
              <w:jc w:val="right"/>
              <w:rPr>
                <w:sz w:val="22"/>
                <w:lang w:val="en-PH"/>
              </w:rPr>
            </w:pPr>
            <w:r w:rsidRPr="0024732C">
              <w:rPr>
                <w:sz w:val="22"/>
              </w:rPr>
              <w:t>2,606,462.79</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Accountable Forms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260,540.31</w:t>
            </w:r>
          </w:p>
        </w:tc>
        <w:tc>
          <w:tcPr>
            <w:tcW w:w="1710" w:type="dxa"/>
            <w:shd w:val="clear" w:color="auto" w:fill="auto"/>
            <w:noWrap/>
            <w:hideMark/>
          </w:tcPr>
          <w:p w:rsidR="001304F2" w:rsidRPr="0024732C" w:rsidRDefault="001304F2" w:rsidP="00955286">
            <w:pPr>
              <w:jc w:val="right"/>
              <w:rPr>
                <w:sz w:val="22"/>
                <w:lang w:val="en-PH"/>
              </w:rPr>
            </w:pPr>
            <w:r w:rsidRPr="0024732C">
              <w:rPr>
                <w:sz w:val="22"/>
              </w:rPr>
              <w:t>277,620.20</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Drugs and Medicines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62,031.45</w:t>
            </w:r>
          </w:p>
        </w:tc>
        <w:tc>
          <w:tcPr>
            <w:tcW w:w="1710" w:type="dxa"/>
            <w:shd w:val="clear" w:color="auto" w:fill="auto"/>
            <w:noWrap/>
            <w:hideMark/>
          </w:tcPr>
          <w:p w:rsidR="001304F2" w:rsidRPr="0024732C" w:rsidRDefault="001304F2" w:rsidP="00955286">
            <w:pPr>
              <w:jc w:val="right"/>
              <w:rPr>
                <w:sz w:val="22"/>
                <w:lang w:val="en-PH"/>
              </w:rPr>
            </w:pPr>
            <w:r w:rsidRPr="0024732C">
              <w:rPr>
                <w:sz w:val="22"/>
              </w:rPr>
              <w:t>84,055.85</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Medical, Dental and Laboratory Supplies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18,510.00</w:t>
            </w:r>
          </w:p>
        </w:tc>
        <w:tc>
          <w:tcPr>
            <w:tcW w:w="1710" w:type="dxa"/>
            <w:shd w:val="clear" w:color="auto" w:fill="auto"/>
            <w:noWrap/>
            <w:hideMark/>
          </w:tcPr>
          <w:p w:rsidR="001304F2" w:rsidRPr="0024732C" w:rsidRDefault="001304F2" w:rsidP="00955286">
            <w:pPr>
              <w:jc w:val="right"/>
              <w:rPr>
                <w:sz w:val="22"/>
                <w:lang w:val="en-PH"/>
              </w:rPr>
            </w:pPr>
            <w:r w:rsidRPr="0024732C">
              <w:rPr>
                <w:sz w:val="22"/>
              </w:rPr>
              <w:t>42,261.25</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Fuel, Oil, and Lubricants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653,162.79</w:t>
            </w:r>
          </w:p>
        </w:tc>
        <w:tc>
          <w:tcPr>
            <w:tcW w:w="1710" w:type="dxa"/>
            <w:shd w:val="clear" w:color="auto" w:fill="auto"/>
            <w:noWrap/>
            <w:hideMark/>
          </w:tcPr>
          <w:p w:rsidR="001304F2" w:rsidRPr="0024732C" w:rsidRDefault="001304F2" w:rsidP="00955286">
            <w:pPr>
              <w:jc w:val="right"/>
              <w:rPr>
                <w:sz w:val="22"/>
                <w:lang w:val="en-PH"/>
              </w:rPr>
            </w:pPr>
            <w:r w:rsidRPr="0024732C">
              <w:rPr>
                <w:sz w:val="22"/>
              </w:rPr>
              <w:t>833,934.09</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Textbooks and Instructional Material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w:t>
            </w:r>
          </w:p>
        </w:tc>
        <w:tc>
          <w:tcPr>
            <w:tcW w:w="1710" w:type="dxa"/>
            <w:shd w:val="clear" w:color="auto" w:fill="auto"/>
            <w:noWrap/>
            <w:hideMark/>
          </w:tcPr>
          <w:p w:rsidR="001304F2" w:rsidRPr="0024732C" w:rsidRDefault="001304F2" w:rsidP="00955286">
            <w:pPr>
              <w:jc w:val="right"/>
              <w:rPr>
                <w:sz w:val="22"/>
                <w:lang w:val="en-PH"/>
              </w:rPr>
            </w:pPr>
            <w:r w:rsidRPr="0024732C">
              <w:rPr>
                <w:sz w:val="22"/>
              </w:rPr>
              <w:t>81,428.00</w:t>
            </w:r>
          </w:p>
        </w:tc>
      </w:tr>
      <w:tr w:rsidR="001304F2" w:rsidRPr="0024732C" w:rsidTr="00991002">
        <w:trPr>
          <w:trHeight w:val="255"/>
        </w:trPr>
        <w:tc>
          <w:tcPr>
            <w:tcW w:w="4140" w:type="dxa"/>
            <w:shd w:val="clear" w:color="auto" w:fill="auto"/>
            <w:noWrap/>
            <w:vAlign w:val="center"/>
            <w:hideMark/>
          </w:tcPr>
          <w:p w:rsidR="001304F2" w:rsidRPr="0024732C" w:rsidRDefault="001304F2" w:rsidP="00E55775">
            <w:pPr>
              <w:rPr>
                <w:sz w:val="22"/>
                <w:lang w:val="en-PH"/>
              </w:rPr>
            </w:pPr>
            <w:r w:rsidRPr="0024732C">
              <w:rPr>
                <w:sz w:val="22"/>
              </w:rPr>
              <w:t>Other Supplies and Materials Expenses</w:t>
            </w:r>
          </w:p>
        </w:tc>
        <w:tc>
          <w:tcPr>
            <w:tcW w:w="1890" w:type="dxa"/>
            <w:shd w:val="clear" w:color="auto" w:fill="auto"/>
            <w:noWrap/>
            <w:hideMark/>
          </w:tcPr>
          <w:p w:rsidR="001304F2" w:rsidRPr="0024732C" w:rsidRDefault="001304F2" w:rsidP="00955286">
            <w:pPr>
              <w:jc w:val="right"/>
              <w:rPr>
                <w:sz w:val="22"/>
                <w:lang w:val="en-PH"/>
              </w:rPr>
            </w:pPr>
            <w:r w:rsidRPr="0024732C">
              <w:rPr>
                <w:sz w:val="22"/>
                <w:lang w:val="en-PH"/>
              </w:rPr>
              <w:t>4,635,905.58</w:t>
            </w:r>
          </w:p>
        </w:tc>
        <w:tc>
          <w:tcPr>
            <w:tcW w:w="1710" w:type="dxa"/>
            <w:shd w:val="clear" w:color="auto" w:fill="auto"/>
            <w:noWrap/>
            <w:hideMark/>
          </w:tcPr>
          <w:p w:rsidR="001304F2" w:rsidRPr="0024732C" w:rsidRDefault="001304F2" w:rsidP="00955286">
            <w:pPr>
              <w:jc w:val="right"/>
              <w:rPr>
                <w:sz w:val="22"/>
                <w:lang w:val="en-PH"/>
              </w:rPr>
            </w:pPr>
            <w:r w:rsidRPr="0024732C">
              <w:rPr>
                <w:sz w:val="22"/>
              </w:rPr>
              <w:t>5,507,311.67</w:t>
            </w:r>
          </w:p>
        </w:tc>
      </w:tr>
      <w:tr w:rsidR="001304F2" w:rsidRPr="0024732C" w:rsidTr="00991002">
        <w:trPr>
          <w:trHeight w:val="270"/>
        </w:trPr>
        <w:tc>
          <w:tcPr>
            <w:tcW w:w="4140" w:type="dxa"/>
            <w:shd w:val="clear" w:color="auto" w:fill="auto"/>
            <w:noWrap/>
            <w:vAlign w:val="bottom"/>
            <w:hideMark/>
          </w:tcPr>
          <w:p w:rsidR="001304F2" w:rsidRPr="0024732C" w:rsidRDefault="001304F2" w:rsidP="00E55775">
            <w:pPr>
              <w:rPr>
                <w:b/>
                <w:bCs/>
                <w:sz w:val="22"/>
                <w:lang w:val="en-PH"/>
              </w:rPr>
            </w:pPr>
            <w:r w:rsidRPr="0024732C">
              <w:rPr>
                <w:b/>
                <w:bCs/>
                <w:sz w:val="22"/>
                <w:lang w:val="en-PH"/>
              </w:rPr>
              <w:t>Total</w:t>
            </w:r>
          </w:p>
        </w:tc>
        <w:tc>
          <w:tcPr>
            <w:tcW w:w="1890" w:type="dxa"/>
            <w:shd w:val="clear" w:color="auto" w:fill="auto"/>
            <w:noWrap/>
            <w:hideMark/>
          </w:tcPr>
          <w:p w:rsidR="001304F2" w:rsidRPr="0024732C" w:rsidRDefault="00C71E68" w:rsidP="00955286">
            <w:pPr>
              <w:jc w:val="right"/>
              <w:rPr>
                <w:b/>
                <w:bCs/>
                <w:sz w:val="22"/>
                <w:lang w:val="en-PH"/>
              </w:rPr>
            </w:pPr>
            <w:r w:rsidRPr="0024732C">
              <w:rPr>
                <w:b/>
                <w:bCs/>
                <w:sz w:val="22"/>
                <w:lang w:val="en-PH"/>
              </w:rPr>
              <w:t>7,855,223.74</w:t>
            </w:r>
          </w:p>
        </w:tc>
        <w:tc>
          <w:tcPr>
            <w:tcW w:w="1710" w:type="dxa"/>
            <w:shd w:val="clear" w:color="auto" w:fill="auto"/>
            <w:noWrap/>
            <w:hideMark/>
          </w:tcPr>
          <w:p w:rsidR="001304F2" w:rsidRPr="0024732C" w:rsidRDefault="00C71E68" w:rsidP="00955286">
            <w:pPr>
              <w:jc w:val="right"/>
              <w:rPr>
                <w:b/>
                <w:bCs/>
                <w:sz w:val="22"/>
                <w:lang w:val="en-PH"/>
              </w:rPr>
            </w:pPr>
            <w:r w:rsidRPr="0024732C">
              <w:rPr>
                <w:b/>
                <w:bCs/>
                <w:sz w:val="22"/>
                <w:lang w:val="en-PH"/>
              </w:rPr>
              <w:t>9,433,073.85</w:t>
            </w:r>
          </w:p>
        </w:tc>
      </w:tr>
    </w:tbl>
    <w:p w:rsidR="001304F2" w:rsidRPr="00A010EE" w:rsidRDefault="001304F2" w:rsidP="00124F98">
      <w:pPr>
        <w:tabs>
          <w:tab w:val="left" w:pos="360"/>
          <w:tab w:val="left" w:pos="900"/>
          <w:tab w:val="left" w:pos="1080"/>
          <w:tab w:val="left" w:pos="1350"/>
          <w:tab w:val="left" w:pos="2160"/>
        </w:tabs>
        <w:jc w:val="both"/>
        <w:rPr>
          <w:b/>
          <w:sz w:val="18"/>
          <w:szCs w:val="18"/>
        </w:rPr>
      </w:pPr>
    </w:p>
    <w:p w:rsidR="0020573C" w:rsidRDefault="0020573C" w:rsidP="00A010EE">
      <w:pPr>
        <w:pStyle w:val="BodyTextIndent"/>
        <w:numPr>
          <w:ilvl w:val="1"/>
          <w:numId w:val="18"/>
        </w:numPr>
        <w:ind w:left="993" w:hanging="567"/>
        <w:rPr>
          <w:b/>
          <w:szCs w:val="24"/>
        </w:rPr>
      </w:pPr>
      <w:r w:rsidRPr="0020573C">
        <w:rPr>
          <w:b/>
          <w:bCs/>
          <w:color w:val="000000"/>
          <w:szCs w:val="24"/>
        </w:rPr>
        <w:t>Utility Expenses</w:t>
      </w:r>
    </w:p>
    <w:p w:rsidR="00CD02E0" w:rsidRPr="00A010EE" w:rsidRDefault="00CD02E0" w:rsidP="00124F98">
      <w:pPr>
        <w:tabs>
          <w:tab w:val="left" w:pos="360"/>
          <w:tab w:val="left" w:pos="900"/>
          <w:tab w:val="left" w:pos="1080"/>
          <w:tab w:val="left" w:pos="1350"/>
          <w:tab w:val="left" w:pos="2160"/>
        </w:tabs>
        <w:jc w:val="both"/>
        <w:rPr>
          <w:b/>
          <w:sz w:val="18"/>
          <w:szCs w:val="18"/>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5D13CA" w:rsidRPr="0024732C" w:rsidTr="00991002">
        <w:trPr>
          <w:trHeight w:val="255"/>
          <w:tblHeader/>
        </w:trPr>
        <w:tc>
          <w:tcPr>
            <w:tcW w:w="4140" w:type="dxa"/>
            <w:shd w:val="clear" w:color="auto" w:fill="auto"/>
            <w:noWrap/>
            <w:vAlign w:val="center"/>
            <w:hideMark/>
          </w:tcPr>
          <w:p w:rsidR="005D13CA" w:rsidRPr="0024732C" w:rsidRDefault="005D13CA" w:rsidP="00E55775">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5D13CA" w:rsidRPr="0024732C" w:rsidRDefault="005D13CA"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5D13CA" w:rsidRPr="0024732C" w:rsidRDefault="005D13CA" w:rsidP="00E55775">
            <w:pPr>
              <w:jc w:val="center"/>
              <w:rPr>
                <w:b/>
                <w:bCs/>
                <w:sz w:val="22"/>
                <w:lang w:val="en-PH"/>
              </w:rPr>
            </w:pPr>
            <w:r w:rsidRPr="0024732C">
              <w:rPr>
                <w:b/>
                <w:bCs/>
                <w:color w:val="000000"/>
                <w:sz w:val="22"/>
                <w:lang w:val="en-PH"/>
              </w:rPr>
              <w:t>2015</w:t>
            </w:r>
          </w:p>
        </w:tc>
      </w:tr>
      <w:tr w:rsidR="005D13CA" w:rsidRPr="0024732C" w:rsidTr="00991002">
        <w:trPr>
          <w:trHeight w:val="255"/>
        </w:trPr>
        <w:tc>
          <w:tcPr>
            <w:tcW w:w="4140" w:type="dxa"/>
            <w:shd w:val="clear" w:color="auto" w:fill="auto"/>
            <w:noWrap/>
            <w:vAlign w:val="center"/>
            <w:hideMark/>
          </w:tcPr>
          <w:p w:rsidR="005D13CA" w:rsidRPr="0024732C" w:rsidRDefault="005D13CA" w:rsidP="00E55775">
            <w:pPr>
              <w:rPr>
                <w:sz w:val="22"/>
                <w:lang w:val="en-PH"/>
              </w:rPr>
            </w:pPr>
            <w:r w:rsidRPr="0024732C">
              <w:rPr>
                <w:sz w:val="22"/>
              </w:rPr>
              <w:t>Water Expenses</w:t>
            </w:r>
          </w:p>
        </w:tc>
        <w:tc>
          <w:tcPr>
            <w:tcW w:w="1890" w:type="dxa"/>
            <w:shd w:val="clear" w:color="auto" w:fill="auto"/>
            <w:noWrap/>
            <w:vAlign w:val="center"/>
            <w:hideMark/>
          </w:tcPr>
          <w:p w:rsidR="005D13CA" w:rsidRPr="0024732C" w:rsidRDefault="005D13CA" w:rsidP="00E55775">
            <w:pPr>
              <w:jc w:val="right"/>
              <w:rPr>
                <w:sz w:val="22"/>
                <w:lang w:val="en-PH"/>
              </w:rPr>
            </w:pPr>
            <w:r w:rsidRPr="0024732C">
              <w:rPr>
                <w:sz w:val="22"/>
                <w:lang w:val="en-PH"/>
              </w:rPr>
              <w:t>4,199,445.61</w:t>
            </w:r>
          </w:p>
        </w:tc>
        <w:tc>
          <w:tcPr>
            <w:tcW w:w="1710" w:type="dxa"/>
            <w:shd w:val="clear" w:color="auto" w:fill="auto"/>
            <w:noWrap/>
            <w:vAlign w:val="center"/>
            <w:hideMark/>
          </w:tcPr>
          <w:p w:rsidR="005D13CA" w:rsidRPr="0024732C" w:rsidRDefault="005D13CA" w:rsidP="00E55775">
            <w:pPr>
              <w:jc w:val="right"/>
              <w:rPr>
                <w:sz w:val="22"/>
                <w:lang w:val="en-PH"/>
              </w:rPr>
            </w:pPr>
            <w:r w:rsidRPr="0024732C">
              <w:rPr>
                <w:sz w:val="22"/>
              </w:rPr>
              <w:t>4,544,514.01</w:t>
            </w:r>
          </w:p>
        </w:tc>
      </w:tr>
      <w:tr w:rsidR="005D13CA" w:rsidRPr="0024732C" w:rsidTr="00991002">
        <w:trPr>
          <w:trHeight w:val="255"/>
        </w:trPr>
        <w:tc>
          <w:tcPr>
            <w:tcW w:w="4140" w:type="dxa"/>
            <w:shd w:val="clear" w:color="auto" w:fill="auto"/>
            <w:noWrap/>
            <w:vAlign w:val="center"/>
            <w:hideMark/>
          </w:tcPr>
          <w:p w:rsidR="005D13CA" w:rsidRPr="0024732C" w:rsidRDefault="005D13CA" w:rsidP="00E55775">
            <w:pPr>
              <w:rPr>
                <w:sz w:val="22"/>
                <w:lang w:val="en-PH"/>
              </w:rPr>
            </w:pPr>
            <w:r w:rsidRPr="0024732C">
              <w:rPr>
                <w:sz w:val="22"/>
              </w:rPr>
              <w:t>Electricity Expenses</w:t>
            </w:r>
          </w:p>
        </w:tc>
        <w:tc>
          <w:tcPr>
            <w:tcW w:w="1890" w:type="dxa"/>
            <w:shd w:val="clear" w:color="auto" w:fill="auto"/>
            <w:noWrap/>
            <w:vAlign w:val="center"/>
            <w:hideMark/>
          </w:tcPr>
          <w:p w:rsidR="005D13CA" w:rsidRPr="0024732C" w:rsidRDefault="005D13CA" w:rsidP="00E55775">
            <w:pPr>
              <w:jc w:val="right"/>
              <w:rPr>
                <w:sz w:val="22"/>
                <w:lang w:val="en-PH"/>
              </w:rPr>
            </w:pPr>
            <w:r w:rsidRPr="0024732C">
              <w:rPr>
                <w:sz w:val="22"/>
                <w:lang w:val="en-PH"/>
              </w:rPr>
              <w:t>7,803,325.23</w:t>
            </w:r>
          </w:p>
        </w:tc>
        <w:tc>
          <w:tcPr>
            <w:tcW w:w="1710" w:type="dxa"/>
            <w:shd w:val="clear" w:color="auto" w:fill="auto"/>
            <w:noWrap/>
            <w:vAlign w:val="center"/>
            <w:hideMark/>
          </w:tcPr>
          <w:p w:rsidR="005D13CA" w:rsidRPr="0024732C" w:rsidRDefault="005D13CA" w:rsidP="00E55775">
            <w:pPr>
              <w:jc w:val="right"/>
              <w:rPr>
                <w:sz w:val="22"/>
                <w:lang w:val="en-PH"/>
              </w:rPr>
            </w:pPr>
            <w:r w:rsidRPr="0024732C">
              <w:rPr>
                <w:sz w:val="22"/>
              </w:rPr>
              <w:t>7,962,663.96</w:t>
            </w:r>
          </w:p>
        </w:tc>
      </w:tr>
      <w:tr w:rsidR="005D13CA" w:rsidRPr="0024732C" w:rsidTr="00991002">
        <w:trPr>
          <w:trHeight w:val="270"/>
        </w:trPr>
        <w:tc>
          <w:tcPr>
            <w:tcW w:w="4140" w:type="dxa"/>
            <w:shd w:val="clear" w:color="auto" w:fill="auto"/>
            <w:noWrap/>
            <w:vAlign w:val="bottom"/>
            <w:hideMark/>
          </w:tcPr>
          <w:p w:rsidR="005D13CA" w:rsidRPr="0024732C" w:rsidRDefault="005D13CA" w:rsidP="00E55775">
            <w:pPr>
              <w:rPr>
                <w:b/>
                <w:bCs/>
                <w:sz w:val="22"/>
                <w:lang w:val="en-PH"/>
              </w:rPr>
            </w:pPr>
            <w:r w:rsidRPr="0024732C">
              <w:rPr>
                <w:b/>
                <w:bCs/>
                <w:sz w:val="22"/>
                <w:lang w:val="en-PH"/>
              </w:rPr>
              <w:t>Total</w:t>
            </w:r>
          </w:p>
        </w:tc>
        <w:tc>
          <w:tcPr>
            <w:tcW w:w="1890" w:type="dxa"/>
            <w:shd w:val="clear" w:color="auto" w:fill="auto"/>
            <w:noWrap/>
            <w:vAlign w:val="bottom"/>
            <w:hideMark/>
          </w:tcPr>
          <w:p w:rsidR="005D13CA" w:rsidRPr="0024732C" w:rsidRDefault="006F2735" w:rsidP="00E55775">
            <w:pPr>
              <w:jc w:val="right"/>
              <w:rPr>
                <w:b/>
                <w:bCs/>
                <w:sz w:val="22"/>
                <w:lang w:val="en-PH"/>
              </w:rPr>
            </w:pPr>
            <w:r w:rsidRPr="0024732C">
              <w:rPr>
                <w:b/>
                <w:bCs/>
                <w:sz w:val="22"/>
                <w:lang w:val="en-PH"/>
              </w:rPr>
              <w:t>12,002,770.84</w:t>
            </w:r>
          </w:p>
        </w:tc>
        <w:tc>
          <w:tcPr>
            <w:tcW w:w="1710" w:type="dxa"/>
            <w:shd w:val="clear" w:color="auto" w:fill="auto"/>
            <w:noWrap/>
            <w:vAlign w:val="bottom"/>
            <w:hideMark/>
          </w:tcPr>
          <w:p w:rsidR="005D13CA" w:rsidRPr="0024732C" w:rsidRDefault="006F2735" w:rsidP="00E55775">
            <w:pPr>
              <w:jc w:val="right"/>
              <w:rPr>
                <w:b/>
                <w:bCs/>
                <w:sz w:val="22"/>
                <w:lang w:val="en-PH"/>
              </w:rPr>
            </w:pPr>
            <w:r w:rsidRPr="0024732C">
              <w:rPr>
                <w:b/>
                <w:bCs/>
                <w:sz w:val="22"/>
                <w:lang w:val="en-PH"/>
              </w:rPr>
              <w:t>12,507,177.97</w:t>
            </w:r>
          </w:p>
        </w:tc>
      </w:tr>
    </w:tbl>
    <w:p w:rsidR="001F6AA8" w:rsidRPr="00A010EE" w:rsidRDefault="001F6AA8" w:rsidP="00124F98">
      <w:pPr>
        <w:tabs>
          <w:tab w:val="left" w:pos="360"/>
          <w:tab w:val="left" w:pos="900"/>
          <w:tab w:val="left" w:pos="1080"/>
          <w:tab w:val="left" w:pos="1350"/>
          <w:tab w:val="left" w:pos="2160"/>
        </w:tabs>
        <w:jc w:val="both"/>
        <w:rPr>
          <w:b/>
          <w:bCs/>
          <w:color w:val="000000"/>
          <w:sz w:val="18"/>
          <w:szCs w:val="18"/>
        </w:rPr>
      </w:pPr>
    </w:p>
    <w:p w:rsidR="005D13CA" w:rsidRDefault="008C1C64" w:rsidP="00A010EE">
      <w:pPr>
        <w:pStyle w:val="BodyTextIndent"/>
        <w:numPr>
          <w:ilvl w:val="1"/>
          <w:numId w:val="18"/>
        </w:numPr>
        <w:ind w:left="993" w:hanging="567"/>
        <w:rPr>
          <w:b/>
          <w:bCs/>
          <w:color w:val="000000"/>
          <w:szCs w:val="24"/>
        </w:rPr>
      </w:pPr>
      <w:r w:rsidRPr="008C1C64">
        <w:rPr>
          <w:b/>
          <w:bCs/>
          <w:color w:val="000000"/>
          <w:szCs w:val="24"/>
        </w:rPr>
        <w:t>Communication Expenses</w:t>
      </w:r>
    </w:p>
    <w:p w:rsidR="008C1C64" w:rsidRPr="00A010EE" w:rsidRDefault="008C1C64" w:rsidP="00124F98">
      <w:pPr>
        <w:tabs>
          <w:tab w:val="left" w:pos="360"/>
          <w:tab w:val="left" w:pos="900"/>
          <w:tab w:val="left" w:pos="1080"/>
          <w:tab w:val="left" w:pos="1350"/>
          <w:tab w:val="left" w:pos="2160"/>
        </w:tabs>
        <w:jc w:val="both"/>
        <w:rPr>
          <w:b/>
          <w:sz w:val="18"/>
          <w:szCs w:val="18"/>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5"/>
        <w:gridCol w:w="1885"/>
        <w:gridCol w:w="1710"/>
      </w:tblGrid>
      <w:tr w:rsidR="00CE6A61" w:rsidRPr="0024732C" w:rsidTr="00991002">
        <w:trPr>
          <w:trHeight w:val="255"/>
          <w:tblHeader/>
        </w:trPr>
        <w:tc>
          <w:tcPr>
            <w:tcW w:w="4145" w:type="dxa"/>
            <w:shd w:val="clear" w:color="auto" w:fill="auto"/>
            <w:noWrap/>
            <w:vAlign w:val="center"/>
            <w:hideMark/>
          </w:tcPr>
          <w:p w:rsidR="00CE6A61" w:rsidRPr="0024732C" w:rsidRDefault="00CE6A61" w:rsidP="00E55775">
            <w:pPr>
              <w:jc w:val="center"/>
              <w:rPr>
                <w:b/>
                <w:bCs/>
                <w:sz w:val="22"/>
                <w:lang w:val="en-PH"/>
              </w:rPr>
            </w:pPr>
            <w:r w:rsidRPr="0024732C">
              <w:rPr>
                <w:b/>
                <w:bCs/>
                <w:sz w:val="22"/>
                <w:lang w:val="en-PH"/>
              </w:rPr>
              <w:t>Account Title</w:t>
            </w:r>
          </w:p>
        </w:tc>
        <w:tc>
          <w:tcPr>
            <w:tcW w:w="1885" w:type="dxa"/>
            <w:shd w:val="clear" w:color="auto" w:fill="auto"/>
            <w:noWrap/>
            <w:vAlign w:val="center"/>
            <w:hideMark/>
          </w:tcPr>
          <w:p w:rsidR="00CE6A61" w:rsidRPr="0024732C" w:rsidRDefault="00CE6A61"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CE6A61" w:rsidRPr="0024732C" w:rsidRDefault="00CE6A61" w:rsidP="00E55775">
            <w:pPr>
              <w:jc w:val="center"/>
              <w:rPr>
                <w:b/>
                <w:bCs/>
                <w:sz w:val="22"/>
                <w:lang w:val="en-PH"/>
              </w:rPr>
            </w:pPr>
            <w:r w:rsidRPr="0024732C">
              <w:rPr>
                <w:b/>
                <w:bCs/>
                <w:color w:val="000000"/>
                <w:sz w:val="22"/>
                <w:lang w:val="en-PH"/>
              </w:rPr>
              <w:t>2015</w:t>
            </w:r>
          </w:p>
        </w:tc>
      </w:tr>
      <w:tr w:rsidR="00CE6A61" w:rsidRPr="0024732C" w:rsidTr="00991002">
        <w:trPr>
          <w:trHeight w:val="255"/>
        </w:trPr>
        <w:tc>
          <w:tcPr>
            <w:tcW w:w="4145" w:type="dxa"/>
            <w:shd w:val="clear" w:color="auto" w:fill="auto"/>
            <w:noWrap/>
            <w:vAlign w:val="center"/>
            <w:hideMark/>
          </w:tcPr>
          <w:p w:rsidR="00CE6A61" w:rsidRPr="0024732C" w:rsidRDefault="00CE6A61" w:rsidP="00E55775">
            <w:pPr>
              <w:rPr>
                <w:sz w:val="22"/>
                <w:lang w:val="en-PH"/>
              </w:rPr>
            </w:pPr>
            <w:r w:rsidRPr="0024732C">
              <w:rPr>
                <w:sz w:val="22"/>
              </w:rPr>
              <w:t>Postage and Courier Services</w:t>
            </w:r>
          </w:p>
        </w:tc>
        <w:tc>
          <w:tcPr>
            <w:tcW w:w="1885" w:type="dxa"/>
            <w:shd w:val="clear" w:color="auto" w:fill="auto"/>
            <w:noWrap/>
            <w:vAlign w:val="center"/>
            <w:hideMark/>
          </w:tcPr>
          <w:p w:rsidR="00CE6A61" w:rsidRPr="0024732C" w:rsidRDefault="00CE6A61" w:rsidP="00E55775">
            <w:pPr>
              <w:jc w:val="right"/>
              <w:rPr>
                <w:sz w:val="22"/>
                <w:lang w:val="en-PH"/>
              </w:rPr>
            </w:pPr>
            <w:r w:rsidRPr="0024732C">
              <w:rPr>
                <w:sz w:val="22"/>
                <w:lang w:val="en-PH"/>
              </w:rPr>
              <w:t>71,884.82</w:t>
            </w:r>
          </w:p>
        </w:tc>
        <w:tc>
          <w:tcPr>
            <w:tcW w:w="1710" w:type="dxa"/>
            <w:shd w:val="clear" w:color="auto" w:fill="auto"/>
            <w:noWrap/>
            <w:vAlign w:val="center"/>
            <w:hideMark/>
          </w:tcPr>
          <w:p w:rsidR="00CE6A61" w:rsidRPr="0024732C" w:rsidRDefault="00CE6A61" w:rsidP="00E55775">
            <w:pPr>
              <w:jc w:val="right"/>
              <w:rPr>
                <w:sz w:val="22"/>
                <w:lang w:val="en-PH"/>
              </w:rPr>
            </w:pPr>
            <w:r w:rsidRPr="0024732C">
              <w:rPr>
                <w:sz w:val="22"/>
              </w:rPr>
              <w:t>26,370.30</w:t>
            </w:r>
          </w:p>
        </w:tc>
      </w:tr>
      <w:tr w:rsidR="00CE6A61" w:rsidRPr="0024732C" w:rsidTr="00991002">
        <w:trPr>
          <w:trHeight w:val="255"/>
        </w:trPr>
        <w:tc>
          <w:tcPr>
            <w:tcW w:w="4145" w:type="dxa"/>
            <w:shd w:val="clear" w:color="auto" w:fill="auto"/>
            <w:noWrap/>
            <w:vAlign w:val="center"/>
            <w:hideMark/>
          </w:tcPr>
          <w:p w:rsidR="00CE6A61" w:rsidRPr="0024732C" w:rsidRDefault="00CE6A61" w:rsidP="00E55775">
            <w:pPr>
              <w:rPr>
                <w:sz w:val="22"/>
                <w:lang w:val="en-PH"/>
              </w:rPr>
            </w:pPr>
            <w:r w:rsidRPr="0024732C">
              <w:rPr>
                <w:sz w:val="22"/>
              </w:rPr>
              <w:t>Telephone Expenses</w:t>
            </w:r>
          </w:p>
        </w:tc>
        <w:tc>
          <w:tcPr>
            <w:tcW w:w="1885" w:type="dxa"/>
            <w:shd w:val="clear" w:color="auto" w:fill="auto"/>
            <w:noWrap/>
            <w:vAlign w:val="center"/>
            <w:hideMark/>
          </w:tcPr>
          <w:p w:rsidR="00CE6A61" w:rsidRPr="0024732C" w:rsidRDefault="00CE6A61" w:rsidP="00E55775">
            <w:pPr>
              <w:jc w:val="right"/>
              <w:rPr>
                <w:sz w:val="22"/>
                <w:lang w:val="en-PH"/>
              </w:rPr>
            </w:pPr>
            <w:r w:rsidRPr="0024732C">
              <w:rPr>
                <w:sz w:val="22"/>
                <w:lang w:val="en-PH"/>
              </w:rPr>
              <w:t>818,983.18</w:t>
            </w:r>
          </w:p>
        </w:tc>
        <w:tc>
          <w:tcPr>
            <w:tcW w:w="1710" w:type="dxa"/>
            <w:shd w:val="clear" w:color="auto" w:fill="auto"/>
            <w:noWrap/>
            <w:vAlign w:val="center"/>
            <w:hideMark/>
          </w:tcPr>
          <w:p w:rsidR="00CE6A61" w:rsidRPr="0024732C" w:rsidRDefault="00CE6A61" w:rsidP="00E55775">
            <w:pPr>
              <w:jc w:val="right"/>
              <w:rPr>
                <w:sz w:val="22"/>
                <w:lang w:val="en-PH"/>
              </w:rPr>
            </w:pPr>
            <w:r w:rsidRPr="0024732C">
              <w:rPr>
                <w:sz w:val="22"/>
              </w:rPr>
              <w:t>920,409.59</w:t>
            </w:r>
          </w:p>
        </w:tc>
      </w:tr>
      <w:tr w:rsidR="00CE6A61" w:rsidRPr="0024732C" w:rsidTr="00991002">
        <w:trPr>
          <w:trHeight w:val="255"/>
        </w:trPr>
        <w:tc>
          <w:tcPr>
            <w:tcW w:w="4145" w:type="dxa"/>
            <w:shd w:val="clear" w:color="auto" w:fill="auto"/>
            <w:noWrap/>
            <w:vAlign w:val="center"/>
            <w:hideMark/>
          </w:tcPr>
          <w:p w:rsidR="00CE6A61" w:rsidRPr="0024732C" w:rsidRDefault="00CE6A61" w:rsidP="00E55775">
            <w:pPr>
              <w:rPr>
                <w:sz w:val="22"/>
                <w:lang w:val="en-PH"/>
              </w:rPr>
            </w:pPr>
            <w:r w:rsidRPr="0024732C">
              <w:rPr>
                <w:sz w:val="22"/>
              </w:rPr>
              <w:t>Internet Expenses</w:t>
            </w:r>
          </w:p>
        </w:tc>
        <w:tc>
          <w:tcPr>
            <w:tcW w:w="1885" w:type="dxa"/>
            <w:shd w:val="clear" w:color="auto" w:fill="auto"/>
            <w:noWrap/>
            <w:vAlign w:val="center"/>
            <w:hideMark/>
          </w:tcPr>
          <w:p w:rsidR="00CE6A61" w:rsidRPr="0024732C" w:rsidRDefault="00CE6A61" w:rsidP="00E55775">
            <w:pPr>
              <w:jc w:val="right"/>
              <w:rPr>
                <w:sz w:val="22"/>
                <w:lang w:val="en-PH"/>
              </w:rPr>
            </w:pPr>
            <w:r w:rsidRPr="0024732C">
              <w:rPr>
                <w:sz w:val="22"/>
                <w:lang w:val="en-PH"/>
              </w:rPr>
              <w:t>306,044.01</w:t>
            </w:r>
          </w:p>
        </w:tc>
        <w:tc>
          <w:tcPr>
            <w:tcW w:w="1710" w:type="dxa"/>
            <w:shd w:val="clear" w:color="auto" w:fill="auto"/>
            <w:noWrap/>
            <w:vAlign w:val="center"/>
            <w:hideMark/>
          </w:tcPr>
          <w:p w:rsidR="00CE6A61" w:rsidRPr="0024732C" w:rsidRDefault="00CE6A61" w:rsidP="00E55775">
            <w:pPr>
              <w:jc w:val="right"/>
              <w:rPr>
                <w:sz w:val="22"/>
                <w:lang w:val="en-PH"/>
              </w:rPr>
            </w:pPr>
            <w:r w:rsidRPr="0024732C">
              <w:rPr>
                <w:sz w:val="22"/>
              </w:rPr>
              <w:t>223,081.08</w:t>
            </w:r>
          </w:p>
        </w:tc>
      </w:tr>
      <w:tr w:rsidR="00CE6A61" w:rsidRPr="0024732C" w:rsidTr="00991002">
        <w:trPr>
          <w:trHeight w:val="270"/>
        </w:trPr>
        <w:tc>
          <w:tcPr>
            <w:tcW w:w="4145" w:type="dxa"/>
            <w:shd w:val="clear" w:color="auto" w:fill="auto"/>
            <w:noWrap/>
            <w:vAlign w:val="bottom"/>
            <w:hideMark/>
          </w:tcPr>
          <w:p w:rsidR="00CE6A61" w:rsidRPr="0024732C" w:rsidRDefault="00CE6A61" w:rsidP="00E55775">
            <w:pPr>
              <w:rPr>
                <w:b/>
                <w:bCs/>
                <w:sz w:val="22"/>
                <w:lang w:val="en-PH"/>
              </w:rPr>
            </w:pPr>
            <w:r w:rsidRPr="0024732C">
              <w:rPr>
                <w:b/>
                <w:bCs/>
                <w:sz w:val="22"/>
                <w:lang w:val="en-PH"/>
              </w:rPr>
              <w:t>Total</w:t>
            </w:r>
          </w:p>
        </w:tc>
        <w:tc>
          <w:tcPr>
            <w:tcW w:w="1885" w:type="dxa"/>
            <w:shd w:val="clear" w:color="auto" w:fill="auto"/>
            <w:noWrap/>
            <w:vAlign w:val="bottom"/>
            <w:hideMark/>
          </w:tcPr>
          <w:p w:rsidR="00CE6A61" w:rsidRPr="0024732C" w:rsidRDefault="008C1C64" w:rsidP="00E55775">
            <w:pPr>
              <w:jc w:val="right"/>
              <w:rPr>
                <w:b/>
                <w:bCs/>
                <w:sz w:val="22"/>
                <w:lang w:val="en-PH"/>
              </w:rPr>
            </w:pPr>
            <w:r w:rsidRPr="0024732C">
              <w:rPr>
                <w:b/>
                <w:bCs/>
                <w:sz w:val="22"/>
                <w:lang w:val="en-PH"/>
              </w:rPr>
              <w:t>1,196,912.01</w:t>
            </w:r>
          </w:p>
        </w:tc>
        <w:tc>
          <w:tcPr>
            <w:tcW w:w="1710" w:type="dxa"/>
            <w:shd w:val="clear" w:color="auto" w:fill="auto"/>
            <w:noWrap/>
            <w:vAlign w:val="bottom"/>
            <w:hideMark/>
          </w:tcPr>
          <w:p w:rsidR="00CE6A61" w:rsidRPr="0024732C" w:rsidRDefault="00EF35F8" w:rsidP="00E55775">
            <w:pPr>
              <w:jc w:val="right"/>
              <w:rPr>
                <w:b/>
                <w:bCs/>
                <w:sz w:val="22"/>
                <w:lang w:val="en-PH"/>
              </w:rPr>
            </w:pPr>
            <w:r w:rsidRPr="0024732C">
              <w:rPr>
                <w:b/>
                <w:bCs/>
                <w:sz w:val="22"/>
                <w:lang w:val="en-PH"/>
              </w:rPr>
              <w:t>1,169,860.97</w:t>
            </w:r>
          </w:p>
        </w:tc>
      </w:tr>
    </w:tbl>
    <w:p w:rsidR="00536FFE" w:rsidRPr="00A010EE" w:rsidRDefault="00536FFE" w:rsidP="00536FFE">
      <w:pPr>
        <w:pStyle w:val="BodyTextIndent"/>
        <w:ind w:left="900" w:firstLine="0"/>
        <w:rPr>
          <w:b/>
          <w:bCs/>
          <w:color w:val="000000"/>
          <w:sz w:val="18"/>
          <w:szCs w:val="18"/>
        </w:rPr>
      </w:pPr>
    </w:p>
    <w:p w:rsidR="008C1C64" w:rsidRDefault="006B6E0C" w:rsidP="00A010EE">
      <w:pPr>
        <w:pStyle w:val="BodyTextIndent"/>
        <w:numPr>
          <w:ilvl w:val="1"/>
          <w:numId w:val="18"/>
        </w:numPr>
        <w:ind w:left="993" w:hanging="567"/>
        <w:rPr>
          <w:b/>
          <w:bCs/>
          <w:color w:val="000000"/>
          <w:szCs w:val="24"/>
        </w:rPr>
      </w:pPr>
      <w:r w:rsidRPr="006B6E0C">
        <w:rPr>
          <w:b/>
          <w:bCs/>
          <w:color w:val="000000"/>
          <w:szCs w:val="24"/>
        </w:rPr>
        <w:t>Extraordinary Expenses</w:t>
      </w:r>
    </w:p>
    <w:p w:rsidR="006B6E0C" w:rsidRPr="00A010EE" w:rsidRDefault="006B6E0C" w:rsidP="00124F98">
      <w:pPr>
        <w:tabs>
          <w:tab w:val="left" w:pos="360"/>
          <w:tab w:val="left" w:pos="900"/>
          <w:tab w:val="left" w:pos="1080"/>
          <w:tab w:val="left" w:pos="1350"/>
          <w:tab w:val="left" w:pos="2160"/>
        </w:tabs>
        <w:jc w:val="both"/>
        <w:rPr>
          <w:b/>
          <w:bCs/>
          <w:color w:val="000000"/>
          <w:sz w:val="18"/>
          <w:szCs w:val="18"/>
        </w:rPr>
      </w:pPr>
    </w:p>
    <w:p w:rsidR="006B6E0C" w:rsidRDefault="00F60DEC" w:rsidP="00A010EE">
      <w:pPr>
        <w:ind w:left="993"/>
        <w:jc w:val="both"/>
        <w:rPr>
          <w:sz w:val="24"/>
          <w:szCs w:val="24"/>
        </w:rPr>
      </w:pPr>
      <w:r>
        <w:rPr>
          <w:sz w:val="24"/>
          <w:szCs w:val="24"/>
        </w:rPr>
        <w:t xml:space="preserve">The account </w:t>
      </w:r>
      <w:r w:rsidRPr="00F60DEC">
        <w:rPr>
          <w:sz w:val="24"/>
          <w:szCs w:val="24"/>
        </w:rPr>
        <w:t>Extraordinary Expenses</w:t>
      </w:r>
      <w:r w:rsidR="00A010EE">
        <w:rPr>
          <w:sz w:val="24"/>
          <w:szCs w:val="24"/>
        </w:rPr>
        <w:t xml:space="preserve"> </w:t>
      </w:r>
      <w:r>
        <w:rPr>
          <w:sz w:val="24"/>
          <w:szCs w:val="24"/>
        </w:rPr>
        <w:t>for CY</w:t>
      </w:r>
      <w:r w:rsidR="00AB655C">
        <w:rPr>
          <w:sz w:val="24"/>
          <w:szCs w:val="24"/>
        </w:rPr>
        <w:t>s</w:t>
      </w:r>
      <w:r>
        <w:rPr>
          <w:sz w:val="24"/>
          <w:szCs w:val="24"/>
        </w:rPr>
        <w:t xml:space="preserve"> 2016 and 2015 amounted to </w:t>
      </w:r>
      <w:r w:rsidRPr="00A93631">
        <w:rPr>
          <w:sz w:val="24"/>
          <w:szCs w:val="24"/>
        </w:rPr>
        <w:t>₱</w:t>
      </w:r>
      <w:r w:rsidRPr="00F60DEC">
        <w:rPr>
          <w:sz w:val="24"/>
          <w:szCs w:val="24"/>
        </w:rPr>
        <w:t>99,294.29</w:t>
      </w:r>
      <w:r>
        <w:rPr>
          <w:sz w:val="24"/>
          <w:szCs w:val="24"/>
        </w:rPr>
        <w:t xml:space="preserve"> and </w:t>
      </w:r>
      <w:r w:rsidRPr="00A93631">
        <w:rPr>
          <w:sz w:val="24"/>
          <w:szCs w:val="24"/>
        </w:rPr>
        <w:t>₱</w:t>
      </w:r>
      <w:r w:rsidRPr="00F60DEC">
        <w:rPr>
          <w:sz w:val="24"/>
          <w:szCs w:val="24"/>
        </w:rPr>
        <w:t>104,440.13</w:t>
      </w:r>
      <w:r>
        <w:rPr>
          <w:sz w:val="24"/>
          <w:szCs w:val="24"/>
        </w:rPr>
        <w:t>, respectively.</w:t>
      </w:r>
    </w:p>
    <w:p w:rsidR="00F60DEC" w:rsidRPr="00A010EE" w:rsidRDefault="00F60DEC" w:rsidP="00F60DEC">
      <w:pPr>
        <w:tabs>
          <w:tab w:val="left" w:pos="360"/>
          <w:tab w:val="left" w:pos="900"/>
          <w:tab w:val="left" w:pos="1080"/>
          <w:tab w:val="left" w:pos="1350"/>
          <w:tab w:val="left" w:pos="2160"/>
        </w:tabs>
        <w:ind w:left="360"/>
        <w:jc w:val="both"/>
        <w:rPr>
          <w:b/>
          <w:bCs/>
          <w:color w:val="000000"/>
          <w:sz w:val="18"/>
          <w:szCs w:val="18"/>
        </w:rPr>
      </w:pPr>
    </w:p>
    <w:p w:rsidR="001C6579" w:rsidRDefault="00674EF7" w:rsidP="00A010EE">
      <w:pPr>
        <w:pStyle w:val="BodyTextIndent"/>
        <w:numPr>
          <w:ilvl w:val="1"/>
          <w:numId w:val="18"/>
        </w:numPr>
        <w:ind w:left="993" w:hanging="567"/>
        <w:rPr>
          <w:b/>
          <w:bCs/>
          <w:color w:val="000000"/>
          <w:szCs w:val="24"/>
        </w:rPr>
      </w:pPr>
      <w:r w:rsidRPr="00674EF7">
        <w:rPr>
          <w:b/>
          <w:bCs/>
          <w:color w:val="000000"/>
          <w:szCs w:val="24"/>
        </w:rPr>
        <w:t>Professional Services</w:t>
      </w:r>
    </w:p>
    <w:p w:rsidR="00D6437C" w:rsidRPr="00A010EE" w:rsidRDefault="00D6437C" w:rsidP="00124F98">
      <w:pPr>
        <w:tabs>
          <w:tab w:val="left" w:pos="360"/>
          <w:tab w:val="left" w:pos="900"/>
          <w:tab w:val="left" w:pos="1080"/>
          <w:tab w:val="left" w:pos="1350"/>
          <w:tab w:val="left" w:pos="2160"/>
        </w:tabs>
        <w:jc w:val="both"/>
        <w:rPr>
          <w:b/>
          <w:sz w:val="18"/>
          <w:szCs w:val="18"/>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8C1C64" w:rsidRPr="0024732C" w:rsidTr="00991002">
        <w:trPr>
          <w:trHeight w:val="255"/>
          <w:tblHeader/>
        </w:trPr>
        <w:tc>
          <w:tcPr>
            <w:tcW w:w="4140" w:type="dxa"/>
            <w:shd w:val="clear" w:color="auto" w:fill="auto"/>
            <w:noWrap/>
            <w:vAlign w:val="center"/>
            <w:hideMark/>
          </w:tcPr>
          <w:p w:rsidR="008C1C64" w:rsidRPr="0024732C" w:rsidRDefault="008C1C64" w:rsidP="00E55775">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8C1C64" w:rsidRPr="0024732C" w:rsidRDefault="008C1C64"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8C1C64" w:rsidRPr="0024732C" w:rsidRDefault="008C1C64" w:rsidP="00E55775">
            <w:pPr>
              <w:jc w:val="center"/>
              <w:rPr>
                <w:b/>
                <w:bCs/>
                <w:sz w:val="22"/>
                <w:lang w:val="en-PH"/>
              </w:rPr>
            </w:pPr>
            <w:r w:rsidRPr="0024732C">
              <w:rPr>
                <w:b/>
                <w:bCs/>
                <w:color w:val="000000"/>
                <w:sz w:val="22"/>
                <w:lang w:val="en-PH"/>
              </w:rPr>
              <w:t>2015</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Legal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687,639.00</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rPr>
              <w:t>571,501.00</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Auditing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rPr>
              <w:t>19,192.85</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Other Professional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33,577,505.10</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rPr>
              <w:t>33,250,089.32</w:t>
            </w:r>
          </w:p>
        </w:tc>
      </w:tr>
      <w:tr w:rsidR="008C1C64" w:rsidRPr="0024732C" w:rsidTr="00991002">
        <w:trPr>
          <w:trHeight w:val="270"/>
        </w:trPr>
        <w:tc>
          <w:tcPr>
            <w:tcW w:w="4140" w:type="dxa"/>
            <w:shd w:val="clear" w:color="auto" w:fill="auto"/>
            <w:noWrap/>
            <w:vAlign w:val="bottom"/>
            <w:hideMark/>
          </w:tcPr>
          <w:p w:rsidR="008C1C64" w:rsidRPr="0024732C" w:rsidRDefault="008C1C64" w:rsidP="00E55775">
            <w:pPr>
              <w:rPr>
                <w:b/>
                <w:bCs/>
                <w:sz w:val="22"/>
                <w:lang w:val="en-PH"/>
              </w:rPr>
            </w:pPr>
            <w:r w:rsidRPr="0024732C">
              <w:rPr>
                <w:b/>
                <w:bCs/>
                <w:sz w:val="22"/>
                <w:lang w:val="en-PH"/>
              </w:rPr>
              <w:t>Total</w:t>
            </w:r>
          </w:p>
        </w:tc>
        <w:tc>
          <w:tcPr>
            <w:tcW w:w="1890" w:type="dxa"/>
            <w:shd w:val="clear" w:color="auto" w:fill="auto"/>
            <w:noWrap/>
            <w:vAlign w:val="bottom"/>
            <w:hideMark/>
          </w:tcPr>
          <w:p w:rsidR="008C1C64" w:rsidRPr="0024732C" w:rsidRDefault="00753609" w:rsidP="00E55775">
            <w:pPr>
              <w:jc w:val="right"/>
              <w:rPr>
                <w:b/>
                <w:bCs/>
                <w:sz w:val="22"/>
                <w:lang w:val="en-PH"/>
              </w:rPr>
            </w:pPr>
            <w:r w:rsidRPr="0024732C">
              <w:rPr>
                <w:b/>
                <w:bCs/>
                <w:sz w:val="22"/>
                <w:lang w:val="en-PH"/>
              </w:rPr>
              <w:t>34,265,144.1</w:t>
            </w:r>
            <w:r w:rsidR="00042968" w:rsidRPr="0024732C">
              <w:rPr>
                <w:b/>
                <w:bCs/>
                <w:sz w:val="22"/>
                <w:lang w:val="en-PH"/>
              </w:rPr>
              <w:t>0</w:t>
            </w:r>
          </w:p>
        </w:tc>
        <w:tc>
          <w:tcPr>
            <w:tcW w:w="1710" w:type="dxa"/>
            <w:shd w:val="clear" w:color="auto" w:fill="auto"/>
            <w:noWrap/>
            <w:vAlign w:val="bottom"/>
            <w:hideMark/>
          </w:tcPr>
          <w:p w:rsidR="008C1C64" w:rsidRPr="0024732C" w:rsidRDefault="002519C2" w:rsidP="00E55775">
            <w:pPr>
              <w:jc w:val="right"/>
              <w:rPr>
                <w:b/>
                <w:bCs/>
                <w:sz w:val="22"/>
                <w:lang w:val="en-PH"/>
              </w:rPr>
            </w:pPr>
            <w:r w:rsidRPr="0024732C">
              <w:rPr>
                <w:b/>
                <w:bCs/>
                <w:sz w:val="22"/>
                <w:lang w:val="en-PH"/>
              </w:rPr>
              <w:t>33,840,783.17</w:t>
            </w:r>
          </w:p>
        </w:tc>
      </w:tr>
    </w:tbl>
    <w:p w:rsidR="008C1C64" w:rsidRPr="00A010EE" w:rsidRDefault="008C1C64" w:rsidP="00124F98">
      <w:pPr>
        <w:tabs>
          <w:tab w:val="left" w:pos="360"/>
          <w:tab w:val="left" w:pos="900"/>
          <w:tab w:val="left" w:pos="1080"/>
          <w:tab w:val="left" w:pos="1350"/>
          <w:tab w:val="left" w:pos="2160"/>
        </w:tabs>
        <w:jc w:val="both"/>
        <w:rPr>
          <w:b/>
          <w:sz w:val="18"/>
          <w:szCs w:val="18"/>
        </w:rPr>
      </w:pPr>
    </w:p>
    <w:p w:rsidR="00674EF7" w:rsidRDefault="00674EF7" w:rsidP="00A010EE">
      <w:pPr>
        <w:pStyle w:val="BodyTextIndent"/>
        <w:numPr>
          <w:ilvl w:val="1"/>
          <w:numId w:val="18"/>
        </w:numPr>
        <w:ind w:left="993" w:hanging="567"/>
        <w:rPr>
          <w:b/>
          <w:szCs w:val="24"/>
        </w:rPr>
      </w:pPr>
      <w:r w:rsidRPr="00674EF7">
        <w:rPr>
          <w:b/>
          <w:bCs/>
          <w:color w:val="000000"/>
          <w:szCs w:val="24"/>
        </w:rPr>
        <w:t>General Services</w:t>
      </w:r>
    </w:p>
    <w:p w:rsidR="008C1C64" w:rsidRPr="00A010EE" w:rsidRDefault="008C1C64" w:rsidP="00124F98">
      <w:pPr>
        <w:tabs>
          <w:tab w:val="left" w:pos="360"/>
          <w:tab w:val="left" w:pos="900"/>
          <w:tab w:val="left" w:pos="1080"/>
          <w:tab w:val="left" w:pos="1350"/>
          <w:tab w:val="left" w:pos="2160"/>
        </w:tabs>
        <w:jc w:val="both"/>
        <w:rPr>
          <w:b/>
          <w:sz w:val="18"/>
          <w:szCs w:val="18"/>
        </w:rPr>
      </w:pP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8C1C64" w:rsidRPr="0024732C" w:rsidTr="00991002">
        <w:trPr>
          <w:trHeight w:val="255"/>
          <w:tblHeader/>
        </w:trPr>
        <w:tc>
          <w:tcPr>
            <w:tcW w:w="4140" w:type="dxa"/>
            <w:shd w:val="clear" w:color="auto" w:fill="auto"/>
            <w:noWrap/>
            <w:vAlign w:val="center"/>
            <w:hideMark/>
          </w:tcPr>
          <w:p w:rsidR="008C1C64" w:rsidRPr="0024732C" w:rsidRDefault="008C1C64" w:rsidP="00E55775">
            <w:pPr>
              <w:jc w:val="center"/>
              <w:rPr>
                <w:b/>
                <w:bCs/>
                <w:sz w:val="22"/>
                <w:lang w:val="en-PH"/>
              </w:rPr>
            </w:pPr>
            <w:r w:rsidRPr="0024732C">
              <w:rPr>
                <w:b/>
                <w:bCs/>
                <w:sz w:val="22"/>
                <w:lang w:val="en-PH"/>
              </w:rPr>
              <w:t>Account Title</w:t>
            </w:r>
          </w:p>
        </w:tc>
        <w:tc>
          <w:tcPr>
            <w:tcW w:w="1890" w:type="dxa"/>
            <w:shd w:val="clear" w:color="auto" w:fill="auto"/>
            <w:noWrap/>
            <w:vAlign w:val="center"/>
            <w:hideMark/>
          </w:tcPr>
          <w:p w:rsidR="008C1C64" w:rsidRPr="0024732C" w:rsidRDefault="008C1C64" w:rsidP="00E55775">
            <w:pPr>
              <w:jc w:val="center"/>
              <w:rPr>
                <w:b/>
                <w:bCs/>
                <w:sz w:val="22"/>
                <w:lang w:val="en-PH"/>
              </w:rPr>
            </w:pPr>
            <w:r w:rsidRPr="0024732C">
              <w:rPr>
                <w:b/>
                <w:bCs/>
                <w:color w:val="000000"/>
                <w:sz w:val="22"/>
                <w:lang w:val="en-PH"/>
              </w:rPr>
              <w:t>2016</w:t>
            </w:r>
          </w:p>
        </w:tc>
        <w:tc>
          <w:tcPr>
            <w:tcW w:w="1710" w:type="dxa"/>
            <w:shd w:val="clear" w:color="auto" w:fill="auto"/>
            <w:noWrap/>
            <w:vAlign w:val="center"/>
            <w:hideMark/>
          </w:tcPr>
          <w:p w:rsidR="008C1C64" w:rsidRPr="0024732C" w:rsidRDefault="008C1C64" w:rsidP="00E55775">
            <w:pPr>
              <w:jc w:val="center"/>
              <w:rPr>
                <w:b/>
                <w:bCs/>
                <w:sz w:val="22"/>
                <w:lang w:val="en-PH"/>
              </w:rPr>
            </w:pPr>
            <w:r w:rsidRPr="0024732C">
              <w:rPr>
                <w:b/>
                <w:bCs/>
                <w:color w:val="000000"/>
                <w:sz w:val="22"/>
                <w:lang w:val="en-PH"/>
              </w:rPr>
              <w:t>2015</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Janitorial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462,278.53</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Security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5,922,463.67</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rPr>
              <w:t>5,677,539.19</w:t>
            </w:r>
          </w:p>
        </w:tc>
      </w:tr>
      <w:tr w:rsidR="008C1C64" w:rsidRPr="0024732C" w:rsidTr="00991002">
        <w:trPr>
          <w:trHeight w:val="255"/>
        </w:trPr>
        <w:tc>
          <w:tcPr>
            <w:tcW w:w="4140" w:type="dxa"/>
            <w:shd w:val="clear" w:color="auto" w:fill="auto"/>
            <w:noWrap/>
            <w:vAlign w:val="center"/>
            <w:hideMark/>
          </w:tcPr>
          <w:p w:rsidR="008C1C64" w:rsidRPr="0024732C" w:rsidRDefault="008C1C64" w:rsidP="00E55775">
            <w:pPr>
              <w:rPr>
                <w:sz w:val="22"/>
                <w:lang w:val="en-PH"/>
              </w:rPr>
            </w:pPr>
            <w:r w:rsidRPr="0024732C">
              <w:rPr>
                <w:sz w:val="22"/>
              </w:rPr>
              <w:t>Other General Services</w:t>
            </w:r>
          </w:p>
        </w:tc>
        <w:tc>
          <w:tcPr>
            <w:tcW w:w="1890" w:type="dxa"/>
            <w:shd w:val="clear" w:color="auto" w:fill="auto"/>
            <w:noWrap/>
            <w:vAlign w:val="center"/>
            <w:hideMark/>
          </w:tcPr>
          <w:p w:rsidR="008C1C64" w:rsidRPr="0024732C" w:rsidRDefault="008C1C64" w:rsidP="00E55775">
            <w:pPr>
              <w:jc w:val="right"/>
              <w:rPr>
                <w:sz w:val="22"/>
                <w:lang w:val="en-PH"/>
              </w:rPr>
            </w:pPr>
            <w:r w:rsidRPr="0024732C">
              <w:rPr>
                <w:sz w:val="22"/>
                <w:lang w:val="en-PH"/>
              </w:rPr>
              <w:t>9,072,832.26</w:t>
            </w:r>
          </w:p>
        </w:tc>
        <w:tc>
          <w:tcPr>
            <w:tcW w:w="1710" w:type="dxa"/>
            <w:shd w:val="clear" w:color="auto" w:fill="auto"/>
            <w:noWrap/>
            <w:vAlign w:val="center"/>
            <w:hideMark/>
          </w:tcPr>
          <w:p w:rsidR="008C1C64" w:rsidRPr="0024732C" w:rsidRDefault="008C1C64" w:rsidP="00E55775">
            <w:pPr>
              <w:jc w:val="right"/>
              <w:rPr>
                <w:sz w:val="22"/>
                <w:lang w:val="en-PH"/>
              </w:rPr>
            </w:pPr>
            <w:r w:rsidRPr="0024732C">
              <w:rPr>
                <w:sz w:val="22"/>
              </w:rPr>
              <w:t>8,439,627.07</w:t>
            </w:r>
          </w:p>
        </w:tc>
      </w:tr>
      <w:tr w:rsidR="008C1C64" w:rsidRPr="0024732C" w:rsidTr="00991002">
        <w:trPr>
          <w:trHeight w:val="270"/>
        </w:trPr>
        <w:tc>
          <w:tcPr>
            <w:tcW w:w="4140" w:type="dxa"/>
            <w:shd w:val="clear" w:color="auto" w:fill="auto"/>
            <w:noWrap/>
            <w:vAlign w:val="bottom"/>
            <w:hideMark/>
          </w:tcPr>
          <w:p w:rsidR="008C1C64" w:rsidRPr="0024732C" w:rsidRDefault="008C1C64" w:rsidP="00E55775">
            <w:pPr>
              <w:rPr>
                <w:b/>
                <w:bCs/>
                <w:sz w:val="22"/>
                <w:lang w:val="en-PH"/>
              </w:rPr>
            </w:pPr>
            <w:r w:rsidRPr="0024732C">
              <w:rPr>
                <w:b/>
                <w:bCs/>
                <w:sz w:val="22"/>
                <w:lang w:val="en-PH"/>
              </w:rPr>
              <w:t>Total</w:t>
            </w:r>
          </w:p>
        </w:tc>
        <w:tc>
          <w:tcPr>
            <w:tcW w:w="1890" w:type="dxa"/>
            <w:shd w:val="clear" w:color="auto" w:fill="auto"/>
            <w:noWrap/>
            <w:vAlign w:val="bottom"/>
            <w:hideMark/>
          </w:tcPr>
          <w:p w:rsidR="008C1C64" w:rsidRPr="0024732C" w:rsidRDefault="00042968" w:rsidP="00E55775">
            <w:pPr>
              <w:jc w:val="right"/>
              <w:rPr>
                <w:b/>
                <w:bCs/>
                <w:sz w:val="22"/>
                <w:lang w:val="en-PH"/>
              </w:rPr>
            </w:pPr>
            <w:r w:rsidRPr="0024732C">
              <w:rPr>
                <w:b/>
                <w:bCs/>
                <w:sz w:val="22"/>
                <w:lang w:val="en-PH"/>
              </w:rPr>
              <w:t>15,457,574.46</w:t>
            </w:r>
          </w:p>
        </w:tc>
        <w:tc>
          <w:tcPr>
            <w:tcW w:w="1710" w:type="dxa"/>
            <w:shd w:val="clear" w:color="auto" w:fill="auto"/>
            <w:noWrap/>
            <w:vAlign w:val="bottom"/>
            <w:hideMark/>
          </w:tcPr>
          <w:p w:rsidR="008C1C64" w:rsidRPr="0024732C" w:rsidRDefault="00FE1F18" w:rsidP="00E55775">
            <w:pPr>
              <w:jc w:val="right"/>
              <w:rPr>
                <w:b/>
                <w:bCs/>
                <w:sz w:val="22"/>
                <w:lang w:val="en-PH"/>
              </w:rPr>
            </w:pPr>
            <w:r w:rsidRPr="0024732C">
              <w:rPr>
                <w:b/>
                <w:bCs/>
                <w:sz w:val="22"/>
                <w:lang w:val="en-PH"/>
              </w:rPr>
              <w:t>14,117,166.26</w:t>
            </w:r>
          </w:p>
        </w:tc>
      </w:tr>
    </w:tbl>
    <w:p w:rsidR="00A010EE" w:rsidRDefault="00A010EE">
      <w:pPr>
        <w:rPr>
          <w:b/>
          <w:sz w:val="16"/>
          <w:szCs w:val="16"/>
        </w:rPr>
      </w:pPr>
      <w:r>
        <w:rPr>
          <w:b/>
          <w:sz w:val="16"/>
          <w:szCs w:val="16"/>
        </w:rPr>
        <w:br w:type="page"/>
      </w:r>
    </w:p>
    <w:p w:rsidR="005E0ADE" w:rsidRDefault="00011236" w:rsidP="00A010EE">
      <w:pPr>
        <w:pStyle w:val="BodyTextIndent"/>
        <w:numPr>
          <w:ilvl w:val="1"/>
          <w:numId w:val="18"/>
        </w:numPr>
        <w:ind w:left="1134" w:hanging="708"/>
        <w:rPr>
          <w:b/>
          <w:szCs w:val="24"/>
        </w:rPr>
      </w:pPr>
      <w:r w:rsidRPr="00011236">
        <w:rPr>
          <w:b/>
          <w:bCs/>
          <w:color w:val="000000"/>
          <w:szCs w:val="24"/>
        </w:rPr>
        <w:lastRenderedPageBreak/>
        <w:t>Repairs &amp; Maintenance</w:t>
      </w:r>
    </w:p>
    <w:p w:rsidR="005E0ADE" w:rsidRDefault="005E0ADE" w:rsidP="00124F98">
      <w:pPr>
        <w:tabs>
          <w:tab w:val="left" w:pos="360"/>
          <w:tab w:val="left" w:pos="900"/>
          <w:tab w:val="left" w:pos="1080"/>
          <w:tab w:val="left" w:pos="1350"/>
          <w:tab w:val="left" w:pos="2160"/>
        </w:tabs>
        <w:jc w:val="both"/>
        <w:rPr>
          <w:b/>
          <w:sz w:val="24"/>
          <w:szCs w:val="24"/>
        </w:rPr>
      </w:pPr>
    </w:p>
    <w:tbl>
      <w:tblPr>
        <w:tblW w:w="761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60"/>
        <w:gridCol w:w="1523"/>
      </w:tblGrid>
      <w:tr w:rsidR="00490BA9" w:rsidRPr="0024732C" w:rsidTr="00A010EE">
        <w:trPr>
          <w:trHeight w:val="255"/>
          <w:tblHeader/>
        </w:trPr>
        <w:tc>
          <w:tcPr>
            <w:tcW w:w="4536" w:type="dxa"/>
            <w:shd w:val="clear" w:color="auto" w:fill="auto"/>
            <w:noWrap/>
            <w:hideMark/>
          </w:tcPr>
          <w:p w:rsidR="00490BA9" w:rsidRPr="0024732C" w:rsidRDefault="00490BA9" w:rsidP="0024732C">
            <w:pPr>
              <w:jc w:val="center"/>
              <w:rPr>
                <w:b/>
                <w:bCs/>
                <w:sz w:val="22"/>
                <w:lang w:val="en-PH"/>
              </w:rPr>
            </w:pPr>
            <w:r w:rsidRPr="0024732C">
              <w:rPr>
                <w:b/>
                <w:bCs/>
                <w:sz w:val="22"/>
                <w:lang w:val="en-PH"/>
              </w:rPr>
              <w:t>Account Title</w:t>
            </w:r>
          </w:p>
        </w:tc>
        <w:tc>
          <w:tcPr>
            <w:tcW w:w="1560" w:type="dxa"/>
            <w:shd w:val="clear" w:color="auto" w:fill="auto"/>
            <w:noWrap/>
            <w:hideMark/>
          </w:tcPr>
          <w:p w:rsidR="00490BA9" w:rsidRPr="0024732C" w:rsidRDefault="00490BA9" w:rsidP="00955286">
            <w:pPr>
              <w:jc w:val="center"/>
              <w:rPr>
                <w:b/>
                <w:bCs/>
                <w:sz w:val="22"/>
                <w:lang w:val="en-PH"/>
              </w:rPr>
            </w:pPr>
            <w:r w:rsidRPr="0024732C">
              <w:rPr>
                <w:b/>
                <w:bCs/>
                <w:color w:val="000000"/>
                <w:sz w:val="22"/>
                <w:lang w:val="en-PH"/>
              </w:rPr>
              <w:t>2016</w:t>
            </w:r>
          </w:p>
        </w:tc>
        <w:tc>
          <w:tcPr>
            <w:tcW w:w="1523" w:type="dxa"/>
            <w:shd w:val="clear" w:color="auto" w:fill="auto"/>
            <w:noWrap/>
            <w:hideMark/>
          </w:tcPr>
          <w:p w:rsidR="00490BA9" w:rsidRPr="0024732C" w:rsidRDefault="00490BA9" w:rsidP="00955286">
            <w:pPr>
              <w:jc w:val="center"/>
              <w:rPr>
                <w:b/>
                <w:bCs/>
                <w:sz w:val="22"/>
                <w:lang w:val="en-PH"/>
              </w:rPr>
            </w:pPr>
            <w:r w:rsidRPr="0024732C">
              <w:rPr>
                <w:b/>
                <w:bCs/>
                <w:color w:val="000000"/>
                <w:sz w:val="22"/>
                <w:lang w:val="en-PH"/>
              </w:rPr>
              <w:t>2015</w:t>
            </w:r>
          </w:p>
        </w:tc>
      </w:tr>
      <w:tr w:rsidR="00490BA9" w:rsidRPr="0024732C" w:rsidTr="00A010EE">
        <w:trPr>
          <w:trHeight w:val="255"/>
        </w:trPr>
        <w:tc>
          <w:tcPr>
            <w:tcW w:w="4536" w:type="dxa"/>
            <w:shd w:val="clear" w:color="auto" w:fill="auto"/>
            <w:noWrap/>
            <w:hideMark/>
          </w:tcPr>
          <w:p w:rsidR="00490BA9" w:rsidRPr="0024732C" w:rsidRDefault="00490BA9" w:rsidP="0024732C">
            <w:pPr>
              <w:rPr>
                <w:sz w:val="22"/>
                <w:lang w:val="en-PH"/>
              </w:rPr>
            </w:pPr>
            <w:r w:rsidRPr="0024732C">
              <w:rPr>
                <w:sz w:val="22"/>
              </w:rPr>
              <w:t>Repairs and Maintenance - Buildings and Other Structures</w:t>
            </w:r>
          </w:p>
        </w:tc>
        <w:tc>
          <w:tcPr>
            <w:tcW w:w="1560" w:type="dxa"/>
            <w:shd w:val="clear" w:color="auto" w:fill="auto"/>
            <w:noWrap/>
            <w:hideMark/>
          </w:tcPr>
          <w:p w:rsidR="00490BA9" w:rsidRPr="0024732C" w:rsidRDefault="00490BA9" w:rsidP="0024732C">
            <w:pPr>
              <w:jc w:val="right"/>
              <w:rPr>
                <w:sz w:val="22"/>
                <w:lang w:val="en-PH"/>
              </w:rPr>
            </w:pPr>
            <w:r w:rsidRPr="0024732C">
              <w:rPr>
                <w:sz w:val="22"/>
                <w:lang w:val="en-PH"/>
              </w:rPr>
              <w:t>1,671,651.79</w:t>
            </w:r>
          </w:p>
        </w:tc>
        <w:tc>
          <w:tcPr>
            <w:tcW w:w="1523" w:type="dxa"/>
            <w:shd w:val="clear" w:color="auto" w:fill="auto"/>
            <w:noWrap/>
            <w:hideMark/>
          </w:tcPr>
          <w:p w:rsidR="00490BA9" w:rsidRPr="0024732C" w:rsidRDefault="00490BA9" w:rsidP="0024732C">
            <w:pPr>
              <w:jc w:val="right"/>
              <w:rPr>
                <w:sz w:val="22"/>
                <w:lang w:val="en-PH"/>
              </w:rPr>
            </w:pPr>
            <w:r w:rsidRPr="0024732C">
              <w:rPr>
                <w:bCs/>
                <w:sz w:val="22"/>
              </w:rPr>
              <w:t>3,990,141.58</w:t>
            </w:r>
          </w:p>
        </w:tc>
      </w:tr>
      <w:tr w:rsidR="00490BA9" w:rsidRPr="0024732C" w:rsidTr="00A010EE">
        <w:trPr>
          <w:trHeight w:val="255"/>
        </w:trPr>
        <w:tc>
          <w:tcPr>
            <w:tcW w:w="4536" w:type="dxa"/>
            <w:shd w:val="clear" w:color="auto" w:fill="auto"/>
            <w:noWrap/>
            <w:hideMark/>
          </w:tcPr>
          <w:p w:rsidR="00490BA9" w:rsidRPr="0024732C" w:rsidRDefault="00490BA9" w:rsidP="0024732C">
            <w:pPr>
              <w:rPr>
                <w:sz w:val="22"/>
                <w:lang w:val="en-PH"/>
              </w:rPr>
            </w:pPr>
            <w:r w:rsidRPr="0024732C">
              <w:rPr>
                <w:sz w:val="22"/>
              </w:rPr>
              <w:t>Repairs and Maintenance- Machinery and Equipment</w:t>
            </w:r>
          </w:p>
        </w:tc>
        <w:tc>
          <w:tcPr>
            <w:tcW w:w="1560" w:type="dxa"/>
            <w:shd w:val="clear" w:color="auto" w:fill="auto"/>
            <w:noWrap/>
            <w:hideMark/>
          </w:tcPr>
          <w:p w:rsidR="00490BA9" w:rsidRPr="0024732C" w:rsidRDefault="00490BA9" w:rsidP="0024732C">
            <w:pPr>
              <w:jc w:val="right"/>
              <w:rPr>
                <w:sz w:val="22"/>
                <w:lang w:val="en-PH"/>
              </w:rPr>
            </w:pPr>
            <w:r w:rsidRPr="0024732C">
              <w:rPr>
                <w:sz w:val="22"/>
                <w:lang w:val="en-PH"/>
              </w:rPr>
              <w:t>911,810.95</w:t>
            </w:r>
          </w:p>
        </w:tc>
        <w:tc>
          <w:tcPr>
            <w:tcW w:w="1523" w:type="dxa"/>
            <w:shd w:val="clear" w:color="auto" w:fill="auto"/>
            <w:noWrap/>
            <w:hideMark/>
          </w:tcPr>
          <w:p w:rsidR="00490BA9" w:rsidRPr="0024732C" w:rsidRDefault="00490BA9" w:rsidP="0024732C">
            <w:pPr>
              <w:jc w:val="right"/>
              <w:rPr>
                <w:sz w:val="22"/>
                <w:lang w:val="en-PH"/>
              </w:rPr>
            </w:pPr>
            <w:r w:rsidRPr="0024732C">
              <w:rPr>
                <w:bCs/>
                <w:sz w:val="22"/>
              </w:rPr>
              <w:t>436,960.08</w:t>
            </w:r>
          </w:p>
        </w:tc>
      </w:tr>
      <w:tr w:rsidR="00490BA9" w:rsidRPr="0024732C" w:rsidTr="00A010EE">
        <w:trPr>
          <w:trHeight w:val="255"/>
        </w:trPr>
        <w:tc>
          <w:tcPr>
            <w:tcW w:w="4536" w:type="dxa"/>
            <w:shd w:val="clear" w:color="auto" w:fill="auto"/>
            <w:noWrap/>
            <w:hideMark/>
          </w:tcPr>
          <w:p w:rsidR="00490BA9" w:rsidRPr="0024732C" w:rsidRDefault="00490BA9" w:rsidP="0024732C">
            <w:pPr>
              <w:rPr>
                <w:sz w:val="22"/>
                <w:lang w:val="en-PH"/>
              </w:rPr>
            </w:pPr>
            <w:r w:rsidRPr="0024732C">
              <w:rPr>
                <w:sz w:val="22"/>
              </w:rPr>
              <w:t>Repairs and Maintenance - Transportation Equipment</w:t>
            </w:r>
          </w:p>
        </w:tc>
        <w:tc>
          <w:tcPr>
            <w:tcW w:w="1560" w:type="dxa"/>
            <w:shd w:val="clear" w:color="auto" w:fill="auto"/>
            <w:noWrap/>
            <w:hideMark/>
          </w:tcPr>
          <w:p w:rsidR="00490BA9" w:rsidRPr="0024732C" w:rsidRDefault="00490BA9" w:rsidP="0024732C">
            <w:pPr>
              <w:jc w:val="right"/>
              <w:rPr>
                <w:sz w:val="22"/>
                <w:lang w:val="en-PH"/>
              </w:rPr>
            </w:pPr>
            <w:r w:rsidRPr="0024732C">
              <w:rPr>
                <w:sz w:val="22"/>
                <w:lang w:val="en-PH"/>
              </w:rPr>
              <w:t>184,663.25</w:t>
            </w:r>
          </w:p>
        </w:tc>
        <w:tc>
          <w:tcPr>
            <w:tcW w:w="1523" w:type="dxa"/>
            <w:shd w:val="clear" w:color="auto" w:fill="auto"/>
            <w:noWrap/>
            <w:hideMark/>
          </w:tcPr>
          <w:p w:rsidR="00490BA9" w:rsidRPr="0024732C" w:rsidRDefault="00490BA9" w:rsidP="0024732C">
            <w:pPr>
              <w:jc w:val="right"/>
              <w:rPr>
                <w:sz w:val="22"/>
                <w:lang w:val="en-PH"/>
              </w:rPr>
            </w:pPr>
            <w:r w:rsidRPr="0024732C">
              <w:rPr>
                <w:bCs/>
                <w:sz w:val="22"/>
              </w:rPr>
              <w:t>484,051.78</w:t>
            </w:r>
          </w:p>
        </w:tc>
      </w:tr>
      <w:tr w:rsidR="00490BA9" w:rsidRPr="0024732C" w:rsidTr="00A010EE">
        <w:trPr>
          <w:trHeight w:val="255"/>
        </w:trPr>
        <w:tc>
          <w:tcPr>
            <w:tcW w:w="4536" w:type="dxa"/>
            <w:shd w:val="clear" w:color="auto" w:fill="auto"/>
            <w:noWrap/>
            <w:hideMark/>
          </w:tcPr>
          <w:p w:rsidR="00490BA9" w:rsidRPr="0024732C" w:rsidRDefault="00490BA9" w:rsidP="0024732C">
            <w:pPr>
              <w:rPr>
                <w:sz w:val="22"/>
                <w:lang w:val="en-PH"/>
              </w:rPr>
            </w:pPr>
            <w:r w:rsidRPr="0024732C">
              <w:rPr>
                <w:sz w:val="22"/>
              </w:rPr>
              <w:t>Repairs and Maintenance- Furniture and Fixtures</w:t>
            </w:r>
          </w:p>
        </w:tc>
        <w:tc>
          <w:tcPr>
            <w:tcW w:w="1560" w:type="dxa"/>
            <w:shd w:val="clear" w:color="auto" w:fill="auto"/>
            <w:noWrap/>
            <w:hideMark/>
          </w:tcPr>
          <w:p w:rsidR="00490BA9" w:rsidRPr="0024732C" w:rsidRDefault="00490BA9" w:rsidP="0024732C">
            <w:pPr>
              <w:jc w:val="right"/>
              <w:rPr>
                <w:sz w:val="22"/>
                <w:lang w:val="en-PH"/>
              </w:rPr>
            </w:pPr>
            <w:r w:rsidRPr="0024732C">
              <w:rPr>
                <w:sz w:val="22"/>
                <w:lang w:val="en-PH"/>
              </w:rPr>
              <w:t>-</w:t>
            </w:r>
          </w:p>
        </w:tc>
        <w:tc>
          <w:tcPr>
            <w:tcW w:w="1523" w:type="dxa"/>
            <w:shd w:val="clear" w:color="auto" w:fill="auto"/>
            <w:noWrap/>
            <w:hideMark/>
          </w:tcPr>
          <w:p w:rsidR="00490BA9" w:rsidRPr="0024732C" w:rsidRDefault="00490BA9" w:rsidP="0024732C">
            <w:pPr>
              <w:jc w:val="right"/>
              <w:rPr>
                <w:sz w:val="22"/>
                <w:lang w:val="en-PH"/>
              </w:rPr>
            </w:pPr>
            <w:r w:rsidRPr="0024732C">
              <w:rPr>
                <w:bCs/>
                <w:sz w:val="22"/>
              </w:rPr>
              <w:t>34,985.86</w:t>
            </w:r>
          </w:p>
        </w:tc>
      </w:tr>
      <w:tr w:rsidR="00490BA9" w:rsidRPr="0024732C" w:rsidTr="00A010EE">
        <w:trPr>
          <w:trHeight w:val="270"/>
        </w:trPr>
        <w:tc>
          <w:tcPr>
            <w:tcW w:w="4536" w:type="dxa"/>
            <w:shd w:val="clear" w:color="auto" w:fill="auto"/>
            <w:noWrap/>
            <w:hideMark/>
          </w:tcPr>
          <w:p w:rsidR="00490BA9" w:rsidRPr="0024732C" w:rsidRDefault="00490BA9" w:rsidP="0024732C">
            <w:pPr>
              <w:rPr>
                <w:b/>
                <w:bCs/>
                <w:sz w:val="22"/>
                <w:lang w:val="en-PH"/>
              </w:rPr>
            </w:pPr>
            <w:r w:rsidRPr="0024732C">
              <w:rPr>
                <w:b/>
                <w:bCs/>
                <w:sz w:val="22"/>
                <w:lang w:val="en-PH"/>
              </w:rPr>
              <w:t>Total</w:t>
            </w:r>
          </w:p>
        </w:tc>
        <w:tc>
          <w:tcPr>
            <w:tcW w:w="1560" w:type="dxa"/>
            <w:shd w:val="clear" w:color="auto" w:fill="auto"/>
            <w:noWrap/>
            <w:hideMark/>
          </w:tcPr>
          <w:p w:rsidR="00490BA9" w:rsidRPr="0024732C" w:rsidRDefault="009D6386" w:rsidP="0024732C">
            <w:pPr>
              <w:jc w:val="right"/>
              <w:rPr>
                <w:b/>
                <w:bCs/>
                <w:sz w:val="22"/>
                <w:lang w:val="en-PH"/>
              </w:rPr>
            </w:pPr>
            <w:r w:rsidRPr="0024732C">
              <w:rPr>
                <w:b/>
                <w:bCs/>
                <w:sz w:val="22"/>
                <w:lang w:val="en-PH"/>
              </w:rPr>
              <w:t>2,768,125.99</w:t>
            </w:r>
          </w:p>
        </w:tc>
        <w:tc>
          <w:tcPr>
            <w:tcW w:w="1523" w:type="dxa"/>
            <w:shd w:val="clear" w:color="auto" w:fill="auto"/>
            <w:noWrap/>
            <w:hideMark/>
          </w:tcPr>
          <w:p w:rsidR="00490BA9" w:rsidRPr="0024732C" w:rsidRDefault="002E4E76" w:rsidP="0024732C">
            <w:pPr>
              <w:jc w:val="right"/>
              <w:rPr>
                <w:b/>
                <w:bCs/>
                <w:sz w:val="22"/>
                <w:lang w:val="en-PH"/>
              </w:rPr>
            </w:pPr>
            <w:r w:rsidRPr="0024732C">
              <w:rPr>
                <w:b/>
                <w:bCs/>
                <w:sz w:val="22"/>
                <w:lang w:val="en-PH"/>
              </w:rPr>
              <w:t>49,46,139.30</w:t>
            </w:r>
          </w:p>
        </w:tc>
      </w:tr>
    </w:tbl>
    <w:p w:rsidR="00490BA9" w:rsidRDefault="00490BA9" w:rsidP="00124F98">
      <w:pPr>
        <w:tabs>
          <w:tab w:val="left" w:pos="360"/>
          <w:tab w:val="left" w:pos="900"/>
          <w:tab w:val="left" w:pos="1080"/>
          <w:tab w:val="left" w:pos="1350"/>
          <w:tab w:val="left" w:pos="2160"/>
        </w:tabs>
        <w:jc w:val="both"/>
        <w:rPr>
          <w:b/>
          <w:sz w:val="24"/>
          <w:szCs w:val="24"/>
        </w:rPr>
      </w:pPr>
    </w:p>
    <w:p w:rsidR="00D62064" w:rsidRDefault="00F33B41" w:rsidP="00A010EE">
      <w:pPr>
        <w:pStyle w:val="BodyTextIndent"/>
        <w:numPr>
          <w:ilvl w:val="1"/>
          <w:numId w:val="18"/>
        </w:numPr>
        <w:ind w:left="1134" w:hanging="708"/>
        <w:rPr>
          <w:b/>
          <w:szCs w:val="24"/>
        </w:rPr>
      </w:pPr>
      <w:r w:rsidRPr="00F33B41">
        <w:rPr>
          <w:b/>
          <w:bCs/>
          <w:color w:val="000000"/>
          <w:szCs w:val="24"/>
        </w:rPr>
        <w:t>Taxes, Insurance Premiums and Other Fees</w:t>
      </w:r>
    </w:p>
    <w:p w:rsidR="00D62064" w:rsidRDefault="00D62064" w:rsidP="00124F98">
      <w:pPr>
        <w:tabs>
          <w:tab w:val="left" w:pos="360"/>
          <w:tab w:val="left" w:pos="900"/>
          <w:tab w:val="left" w:pos="1080"/>
          <w:tab w:val="left" w:pos="1350"/>
          <w:tab w:val="left" w:pos="2160"/>
        </w:tabs>
        <w:jc w:val="both"/>
        <w:rPr>
          <w:b/>
          <w:sz w:val="24"/>
          <w:szCs w:val="24"/>
        </w:rPr>
      </w:pPr>
    </w:p>
    <w:tbl>
      <w:tblPr>
        <w:tblW w:w="761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60"/>
        <w:gridCol w:w="1523"/>
      </w:tblGrid>
      <w:tr w:rsidR="00490BA9" w:rsidRPr="0024732C" w:rsidTr="00A010EE">
        <w:trPr>
          <w:trHeight w:val="255"/>
          <w:tblHeader/>
        </w:trPr>
        <w:tc>
          <w:tcPr>
            <w:tcW w:w="4536" w:type="dxa"/>
            <w:shd w:val="clear" w:color="auto" w:fill="auto"/>
            <w:noWrap/>
            <w:vAlign w:val="center"/>
            <w:hideMark/>
          </w:tcPr>
          <w:p w:rsidR="00490BA9" w:rsidRPr="0024732C" w:rsidRDefault="00490BA9" w:rsidP="00E55775">
            <w:pPr>
              <w:jc w:val="center"/>
              <w:rPr>
                <w:b/>
                <w:bCs/>
                <w:sz w:val="22"/>
                <w:lang w:val="en-PH"/>
              </w:rPr>
            </w:pPr>
            <w:r w:rsidRPr="0024732C">
              <w:rPr>
                <w:b/>
                <w:bCs/>
                <w:sz w:val="22"/>
                <w:lang w:val="en-PH"/>
              </w:rPr>
              <w:t>Account Title</w:t>
            </w:r>
          </w:p>
        </w:tc>
        <w:tc>
          <w:tcPr>
            <w:tcW w:w="1560" w:type="dxa"/>
            <w:shd w:val="clear" w:color="auto" w:fill="auto"/>
            <w:noWrap/>
            <w:vAlign w:val="center"/>
            <w:hideMark/>
          </w:tcPr>
          <w:p w:rsidR="00490BA9" w:rsidRPr="0024732C" w:rsidRDefault="00490BA9" w:rsidP="00E55775">
            <w:pPr>
              <w:jc w:val="center"/>
              <w:rPr>
                <w:b/>
                <w:bCs/>
                <w:sz w:val="22"/>
                <w:lang w:val="en-PH"/>
              </w:rPr>
            </w:pPr>
            <w:r w:rsidRPr="0024732C">
              <w:rPr>
                <w:b/>
                <w:bCs/>
                <w:color w:val="000000"/>
                <w:sz w:val="22"/>
                <w:lang w:val="en-PH"/>
              </w:rPr>
              <w:t>2016</w:t>
            </w:r>
          </w:p>
        </w:tc>
        <w:tc>
          <w:tcPr>
            <w:tcW w:w="1523" w:type="dxa"/>
            <w:shd w:val="clear" w:color="auto" w:fill="auto"/>
            <w:noWrap/>
            <w:vAlign w:val="center"/>
            <w:hideMark/>
          </w:tcPr>
          <w:p w:rsidR="00490BA9" w:rsidRPr="0024732C" w:rsidRDefault="00490BA9" w:rsidP="00E55775">
            <w:pPr>
              <w:jc w:val="center"/>
              <w:rPr>
                <w:b/>
                <w:bCs/>
                <w:sz w:val="22"/>
                <w:lang w:val="en-PH"/>
              </w:rPr>
            </w:pPr>
            <w:r w:rsidRPr="0024732C">
              <w:rPr>
                <w:b/>
                <w:bCs/>
                <w:color w:val="000000"/>
                <w:sz w:val="22"/>
                <w:lang w:val="en-PH"/>
              </w:rPr>
              <w:t>2015</w:t>
            </w:r>
          </w:p>
        </w:tc>
      </w:tr>
      <w:tr w:rsidR="00490BA9" w:rsidRPr="0024732C" w:rsidTr="00A010EE">
        <w:trPr>
          <w:trHeight w:val="255"/>
        </w:trPr>
        <w:tc>
          <w:tcPr>
            <w:tcW w:w="4536" w:type="dxa"/>
            <w:shd w:val="clear" w:color="auto" w:fill="auto"/>
            <w:noWrap/>
            <w:vAlign w:val="center"/>
            <w:hideMark/>
          </w:tcPr>
          <w:p w:rsidR="00490BA9" w:rsidRPr="0024732C" w:rsidRDefault="00490BA9" w:rsidP="00E55775">
            <w:pPr>
              <w:rPr>
                <w:sz w:val="22"/>
                <w:lang w:val="en-PH"/>
              </w:rPr>
            </w:pPr>
            <w:r w:rsidRPr="0024732C">
              <w:rPr>
                <w:sz w:val="22"/>
              </w:rPr>
              <w:t>Taxes, Duties and Licenses</w:t>
            </w:r>
          </w:p>
        </w:tc>
        <w:tc>
          <w:tcPr>
            <w:tcW w:w="1560" w:type="dxa"/>
            <w:shd w:val="clear" w:color="auto" w:fill="auto"/>
            <w:noWrap/>
            <w:vAlign w:val="center"/>
            <w:hideMark/>
          </w:tcPr>
          <w:p w:rsidR="00490BA9" w:rsidRPr="0024732C" w:rsidRDefault="00490BA9" w:rsidP="00E55775">
            <w:pPr>
              <w:jc w:val="right"/>
              <w:rPr>
                <w:sz w:val="22"/>
                <w:lang w:val="en-PH"/>
              </w:rPr>
            </w:pPr>
            <w:r w:rsidRPr="0024732C">
              <w:rPr>
                <w:sz w:val="22"/>
                <w:lang w:val="en-PH"/>
              </w:rPr>
              <w:t>14,190.61</w:t>
            </w:r>
          </w:p>
        </w:tc>
        <w:tc>
          <w:tcPr>
            <w:tcW w:w="1523" w:type="dxa"/>
            <w:shd w:val="clear" w:color="auto" w:fill="auto"/>
            <w:noWrap/>
            <w:vAlign w:val="center"/>
            <w:hideMark/>
          </w:tcPr>
          <w:p w:rsidR="00490BA9" w:rsidRPr="0024732C" w:rsidRDefault="00490BA9" w:rsidP="00E55775">
            <w:pPr>
              <w:jc w:val="right"/>
              <w:rPr>
                <w:sz w:val="22"/>
                <w:lang w:val="en-PH"/>
              </w:rPr>
            </w:pPr>
            <w:r w:rsidRPr="0024732C">
              <w:rPr>
                <w:bCs/>
                <w:sz w:val="22"/>
              </w:rPr>
              <w:t>558,238.57</w:t>
            </w:r>
          </w:p>
        </w:tc>
      </w:tr>
      <w:tr w:rsidR="00490BA9" w:rsidRPr="0024732C" w:rsidTr="00A010EE">
        <w:trPr>
          <w:trHeight w:val="255"/>
        </w:trPr>
        <w:tc>
          <w:tcPr>
            <w:tcW w:w="4536" w:type="dxa"/>
            <w:shd w:val="clear" w:color="auto" w:fill="auto"/>
            <w:noWrap/>
            <w:vAlign w:val="center"/>
            <w:hideMark/>
          </w:tcPr>
          <w:p w:rsidR="00490BA9" w:rsidRPr="0024732C" w:rsidRDefault="00490BA9" w:rsidP="00E55775">
            <w:pPr>
              <w:rPr>
                <w:sz w:val="22"/>
                <w:lang w:val="en-PH"/>
              </w:rPr>
            </w:pPr>
            <w:r w:rsidRPr="0024732C">
              <w:rPr>
                <w:sz w:val="22"/>
              </w:rPr>
              <w:t>Fidelity Bond Premiums</w:t>
            </w:r>
          </w:p>
        </w:tc>
        <w:tc>
          <w:tcPr>
            <w:tcW w:w="1560" w:type="dxa"/>
            <w:shd w:val="clear" w:color="auto" w:fill="auto"/>
            <w:noWrap/>
            <w:vAlign w:val="center"/>
            <w:hideMark/>
          </w:tcPr>
          <w:p w:rsidR="00490BA9" w:rsidRPr="0024732C" w:rsidRDefault="00490BA9" w:rsidP="00E55775">
            <w:pPr>
              <w:jc w:val="right"/>
              <w:rPr>
                <w:sz w:val="22"/>
                <w:lang w:val="en-PH"/>
              </w:rPr>
            </w:pPr>
            <w:r w:rsidRPr="0024732C">
              <w:rPr>
                <w:sz w:val="22"/>
                <w:lang w:val="en-PH"/>
              </w:rPr>
              <w:t>167,250.00</w:t>
            </w:r>
          </w:p>
        </w:tc>
        <w:tc>
          <w:tcPr>
            <w:tcW w:w="1523" w:type="dxa"/>
            <w:shd w:val="clear" w:color="auto" w:fill="auto"/>
            <w:noWrap/>
            <w:vAlign w:val="center"/>
            <w:hideMark/>
          </w:tcPr>
          <w:p w:rsidR="00490BA9" w:rsidRPr="0024732C" w:rsidRDefault="00490BA9" w:rsidP="00E55775">
            <w:pPr>
              <w:jc w:val="right"/>
              <w:rPr>
                <w:sz w:val="22"/>
                <w:lang w:val="en-PH"/>
              </w:rPr>
            </w:pPr>
            <w:r w:rsidRPr="0024732C">
              <w:rPr>
                <w:bCs/>
                <w:sz w:val="22"/>
              </w:rPr>
              <w:t>159,562.50</w:t>
            </w:r>
          </w:p>
        </w:tc>
      </w:tr>
      <w:tr w:rsidR="00490BA9" w:rsidRPr="0024732C" w:rsidTr="00A010EE">
        <w:trPr>
          <w:trHeight w:val="255"/>
        </w:trPr>
        <w:tc>
          <w:tcPr>
            <w:tcW w:w="4536" w:type="dxa"/>
            <w:shd w:val="clear" w:color="auto" w:fill="auto"/>
            <w:noWrap/>
            <w:vAlign w:val="center"/>
            <w:hideMark/>
          </w:tcPr>
          <w:p w:rsidR="00490BA9" w:rsidRPr="0024732C" w:rsidRDefault="00490BA9" w:rsidP="00E55775">
            <w:pPr>
              <w:rPr>
                <w:sz w:val="22"/>
                <w:lang w:val="en-PH"/>
              </w:rPr>
            </w:pPr>
            <w:r w:rsidRPr="0024732C">
              <w:rPr>
                <w:sz w:val="22"/>
              </w:rPr>
              <w:t>Insurance Expenses</w:t>
            </w:r>
          </w:p>
        </w:tc>
        <w:tc>
          <w:tcPr>
            <w:tcW w:w="1560" w:type="dxa"/>
            <w:shd w:val="clear" w:color="auto" w:fill="auto"/>
            <w:noWrap/>
            <w:vAlign w:val="center"/>
            <w:hideMark/>
          </w:tcPr>
          <w:p w:rsidR="00490BA9" w:rsidRPr="0024732C" w:rsidRDefault="00490BA9" w:rsidP="00E55775">
            <w:pPr>
              <w:jc w:val="right"/>
              <w:rPr>
                <w:sz w:val="22"/>
                <w:lang w:val="en-PH"/>
              </w:rPr>
            </w:pPr>
            <w:r w:rsidRPr="0024732C">
              <w:rPr>
                <w:sz w:val="22"/>
                <w:lang w:val="en-PH"/>
              </w:rPr>
              <w:t>4,052,171.14</w:t>
            </w:r>
          </w:p>
        </w:tc>
        <w:tc>
          <w:tcPr>
            <w:tcW w:w="1523" w:type="dxa"/>
            <w:shd w:val="clear" w:color="auto" w:fill="auto"/>
            <w:noWrap/>
            <w:vAlign w:val="center"/>
            <w:hideMark/>
          </w:tcPr>
          <w:p w:rsidR="00490BA9" w:rsidRPr="0024732C" w:rsidRDefault="00490BA9" w:rsidP="00E55775">
            <w:pPr>
              <w:jc w:val="right"/>
              <w:rPr>
                <w:sz w:val="22"/>
                <w:lang w:val="en-PH"/>
              </w:rPr>
            </w:pPr>
            <w:r w:rsidRPr="0024732C">
              <w:rPr>
                <w:bCs/>
                <w:sz w:val="22"/>
              </w:rPr>
              <w:t>4,131,588.89</w:t>
            </w:r>
          </w:p>
        </w:tc>
      </w:tr>
      <w:tr w:rsidR="00490BA9" w:rsidRPr="0024732C" w:rsidTr="00A010EE">
        <w:trPr>
          <w:trHeight w:val="270"/>
        </w:trPr>
        <w:tc>
          <w:tcPr>
            <w:tcW w:w="4536" w:type="dxa"/>
            <w:shd w:val="clear" w:color="auto" w:fill="auto"/>
            <w:noWrap/>
            <w:vAlign w:val="bottom"/>
            <w:hideMark/>
          </w:tcPr>
          <w:p w:rsidR="00490BA9" w:rsidRPr="0024732C" w:rsidRDefault="00490BA9" w:rsidP="00E55775">
            <w:pPr>
              <w:rPr>
                <w:b/>
                <w:bCs/>
                <w:sz w:val="22"/>
                <w:lang w:val="en-PH"/>
              </w:rPr>
            </w:pPr>
            <w:r w:rsidRPr="0024732C">
              <w:rPr>
                <w:b/>
                <w:bCs/>
                <w:sz w:val="22"/>
                <w:lang w:val="en-PH"/>
              </w:rPr>
              <w:t>Total</w:t>
            </w:r>
          </w:p>
        </w:tc>
        <w:tc>
          <w:tcPr>
            <w:tcW w:w="1560" w:type="dxa"/>
            <w:shd w:val="clear" w:color="auto" w:fill="auto"/>
            <w:noWrap/>
            <w:vAlign w:val="bottom"/>
            <w:hideMark/>
          </w:tcPr>
          <w:p w:rsidR="00490BA9" w:rsidRPr="0024732C" w:rsidRDefault="00480E1B" w:rsidP="00E55775">
            <w:pPr>
              <w:jc w:val="right"/>
              <w:rPr>
                <w:b/>
                <w:bCs/>
                <w:sz w:val="22"/>
                <w:lang w:val="en-PH"/>
              </w:rPr>
            </w:pPr>
            <w:r w:rsidRPr="0024732C">
              <w:rPr>
                <w:b/>
                <w:bCs/>
                <w:sz w:val="22"/>
                <w:lang w:val="en-PH"/>
              </w:rPr>
              <w:t>4,233,611.75</w:t>
            </w:r>
          </w:p>
        </w:tc>
        <w:tc>
          <w:tcPr>
            <w:tcW w:w="1523" w:type="dxa"/>
            <w:shd w:val="clear" w:color="auto" w:fill="auto"/>
            <w:noWrap/>
            <w:vAlign w:val="bottom"/>
            <w:hideMark/>
          </w:tcPr>
          <w:p w:rsidR="00490BA9" w:rsidRPr="0024732C" w:rsidRDefault="00480E1B" w:rsidP="00E55775">
            <w:pPr>
              <w:jc w:val="right"/>
              <w:rPr>
                <w:b/>
                <w:bCs/>
                <w:sz w:val="22"/>
                <w:lang w:val="en-PH"/>
              </w:rPr>
            </w:pPr>
            <w:r w:rsidRPr="0024732C">
              <w:rPr>
                <w:b/>
                <w:bCs/>
                <w:sz w:val="22"/>
                <w:lang w:val="en-PH"/>
              </w:rPr>
              <w:t>4,849,389.96</w:t>
            </w:r>
          </w:p>
        </w:tc>
      </w:tr>
    </w:tbl>
    <w:p w:rsidR="001F6AA8" w:rsidRDefault="001F6AA8" w:rsidP="00C93AF9">
      <w:pPr>
        <w:tabs>
          <w:tab w:val="left" w:pos="360"/>
          <w:tab w:val="left" w:pos="900"/>
          <w:tab w:val="left" w:pos="1080"/>
          <w:tab w:val="left" w:pos="1350"/>
          <w:tab w:val="left" w:pos="2160"/>
        </w:tabs>
        <w:jc w:val="both"/>
        <w:rPr>
          <w:b/>
          <w:sz w:val="24"/>
          <w:szCs w:val="24"/>
        </w:rPr>
      </w:pPr>
    </w:p>
    <w:p w:rsidR="00C93AF9" w:rsidRDefault="00F33B41" w:rsidP="00A010EE">
      <w:pPr>
        <w:pStyle w:val="BodyTextIndent"/>
        <w:numPr>
          <w:ilvl w:val="1"/>
          <w:numId w:val="18"/>
        </w:numPr>
        <w:ind w:left="1134" w:hanging="708"/>
        <w:rPr>
          <w:b/>
          <w:szCs w:val="24"/>
        </w:rPr>
      </w:pPr>
      <w:r w:rsidRPr="00F33B41">
        <w:rPr>
          <w:b/>
          <w:bCs/>
          <w:color w:val="000000"/>
          <w:szCs w:val="24"/>
        </w:rPr>
        <w:t>Other Maintenance and Operating Expenses</w:t>
      </w:r>
    </w:p>
    <w:p w:rsidR="00490BA9" w:rsidRDefault="00490BA9" w:rsidP="00124F98">
      <w:pPr>
        <w:tabs>
          <w:tab w:val="left" w:pos="360"/>
          <w:tab w:val="left" w:pos="900"/>
          <w:tab w:val="left" w:pos="1080"/>
          <w:tab w:val="left" w:pos="1350"/>
          <w:tab w:val="left" w:pos="2160"/>
        </w:tabs>
        <w:jc w:val="both"/>
        <w:rPr>
          <w:b/>
          <w:sz w:val="24"/>
          <w:szCs w:val="24"/>
        </w:rPr>
      </w:pPr>
    </w:p>
    <w:tbl>
      <w:tblPr>
        <w:tblW w:w="7619" w:type="dxa"/>
        <w:tblInd w:w="1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6"/>
        <w:gridCol w:w="1560"/>
        <w:gridCol w:w="1523"/>
      </w:tblGrid>
      <w:tr w:rsidR="00B074D9" w:rsidRPr="0024732C" w:rsidTr="00A010EE">
        <w:trPr>
          <w:trHeight w:val="255"/>
          <w:tblHeader/>
        </w:trPr>
        <w:tc>
          <w:tcPr>
            <w:tcW w:w="4536" w:type="dxa"/>
            <w:shd w:val="clear" w:color="auto" w:fill="auto"/>
            <w:noWrap/>
            <w:vAlign w:val="center"/>
            <w:hideMark/>
          </w:tcPr>
          <w:p w:rsidR="00B074D9" w:rsidRPr="0024732C" w:rsidRDefault="00B074D9" w:rsidP="00E55775">
            <w:pPr>
              <w:jc w:val="center"/>
              <w:rPr>
                <w:b/>
                <w:bCs/>
                <w:sz w:val="22"/>
                <w:lang w:val="en-PH"/>
              </w:rPr>
            </w:pPr>
            <w:r w:rsidRPr="0024732C">
              <w:rPr>
                <w:b/>
                <w:bCs/>
                <w:sz w:val="22"/>
                <w:lang w:val="en-PH"/>
              </w:rPr>
              <w:t>Account Title</w:t>
            </w:r>
          </w:p>
        </w:tc>
        <w:tc>
          <w:tcPr>
            <w:tcW w:w="1560" w:type="dxa"/>
            <w:shd w:val="clear" w:color="auto" w:fill="auto"/>
            <w:noWrap/>
            <w:vAlign w:val="center"/>
            <w:hideMark/>
          </w:tcPr>
          <w:p w:rsidR="00B074D9" w:rsidRPr="0024732C" w:rsidRDefault="00B074D9" w:rsidP="00E55775">
            <w:pPr>
              <w:jc w:val="center"/>
              <w:rPr>
                <w:b/>
                <w:bCs/>
                <w:sz w:val="22"/>
                <w:lang w:val="en-PH"/>
              </w:rPr>
            </w:pPr>
            <w:r w:rsidRPr="0024732C">
              <w:rPr>
                <w:b/>
                <w:bCs/>
                <w:color w:val="000000"/>
                <w:sz w:val="22"/>
                <w:lang w:val="en-PH"/>
              </w:rPr>
              <w:t>2016</w:t>
            </w:r>
          </w:p>
        </w:tc>
        <w:tc>
          <w:tcPr>
            <w:tcW w:w="1523" w:type="dxa"/>
            <w:shd w:val="clear" w:color="auto" w:fill="auto"/>
            <w:noWrap/>
            <w:vAlign w:val="center"/>
            <w:hideMark/>
          </w:tcPr>
          <w:p w:rsidR="00B074D9" w:rsidRPr="0024732C" w:rsidRDefault="00B074D9" w:rsidP="00E55775">
            <w:pPr>
              <w:jc w:val="center"/>
              <w:rPr>
                <w:b/>
                <w:bCs/>
                <w:sz w:val="22"/>
                <w:lang w:val="en-PH"/>
              </w:rPr>
            </w:pPr>
            <w:r w:rsidRPr="0024732C">
              <w:rPr>
                <w:b/>
                <w:bCs/>
                <w:color w:val="000000"/>
                <w:sz w:val="22"/>
                <w:lang w:val="en-PH"/>
              </w:rPr>
              <w:t>2015</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Advertising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151,011.20</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14,100.00</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Printing and Publication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1,774,006.37</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2,084,776.19</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Representation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3,328,461.51</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4,181,398.79</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Rent/Lease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1,143,373.11</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1,174,077.00</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Membership Dues and Contributions to Orgs.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1,053,998.14</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2,157,498.09</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Subscription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332,273.60</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206,912.56</w:t>
            </w:r>
          </w:p>
        </w:tc>
      </w:tr>
      <w:tr w:rsidR="00B074D9" w:rsidRPr="0024732C" w:rsidTr="00A010EE">
        <w:trPr>
          <w:trHeight w:val="255"/>
        </w:trPr>
        <w:tc>
          <w:tcPr>
            <w:tcW w:w="4536" w:type="dxa"/>
            <w:shd w:val="clear" w:color="auto" w:fill="auto"/>
            <w:noWrap/>
            <w:vAlign w:val="center"/>
            <w:hideMark/>
          </w:tcPr>
          <w:p w:rsidR="00B074D9" w:rsidRPr="0024732C" w:rsidRDefault="00B074D9" w:rsidP="00E55775">
            <w:pPr>
              <w:rPr>
                <w:sz w:val="22"/>
                <w:lang w:val="en-PH"/>
              </w:rPr>
            </w:pPr>
            <w:r w:rsidRPr="0024732C">
              <w:rPr>
                <w:sz w:val="22"/>
              </w:rPr>
              <w:t>Other Maintenance and Operating Expenses</w:t>
            </w:r>
          </w:p>
        </w:tc>
        <w:tc>
          <w:tcPr>
            <w:tcW w:w="1560" w:type="dxa"/>
            <w:shd w:val="clear" w:color="auto" w:fill="auto"/>
            <w:noWrap/>
            <w:vAlign w:val="center"/>
            <w:hideMark/>
          </w:tcPr>
          <w:p w:rsidR="00B074D9" w:rsidRPr="0024732C" w:rsidRDefault="00B074D9" w:rsidP="00E55775">
            <w:pPr>
              <w:jc w:val="right"/>
              <w:rPr>
                <w:sz w:val="22"/>
                <w:lang w:val="en-PH"/>
              </w:rPr>
            </w:pPr>
            <w:r w:rsidRPr="0024732C">
              <w:rPr>
                <w:sz w:val="22"/>
                <w:lang w:val="en-PH"/>
              </w:rPr>
              <w:t>1,160,855.55</w:t>
            </w:r>
          </w:p>
        </w:tc>
        <w:tc>
          <w:tcPr>
            <w:tcW w:w="1523" w:type="dxa"/>
            <w:shd w:val="clear" w:color="auto" w:fill="auto"/>
            <w:noWrap/>
            <w:vAlign w:val="center"/>
            <w:hideMark/>
          </w:tcPr>
          <w:p w:rsidR="00B074D9" w:rsidRPr="0024732C" w:rsidRDefault="00B074D9" w:rsidP="00E55775">
            <w:pPr>
              <w:jc w:val="right"/>
              <w:rPr>
                <w:sz w:val="22"/>
                <w:lang w:val="en-PH"/>
              </w:rPr>
            </w:pPr>
            <w:r w:rsidRPr="0024732C">
              <w:rPr>
                <w:bCs/>
                <w:sz w:val="22"/>
              </w:rPr>
              <w:t>2,008,529.69</w:t>
            </w:r>
          </w:p>
        </w:tc>
      </w:tr>
      <w:tr w:rsidR="00B074D9" w:rsidRPr="0024732C" w:rsidTr="00A010EE">
        <w:trPr>
          <w:trHeight w:val="270"/>
        </w:trPr>
        <w:tc>
          <w:tcPr>
            <w:tcW w:w="4536" w:type="dxa"/>
            <w:shd w:val="clear" w:color="auto" w:fill="auto"/>
            <w:noWrap/>
            <w:vAlign w:val="bottom"/>
            <w:hideMark/>
          </w:tcPr>
          <w:p w:rsidR="00B074D9" w:rsidRPr="0024732C" w:rsidRDefault="00B074D9" w:rsidP="00E55775">
            <w:pPr>
              <w:rPr>
                <w:b/>
                <w:bCs/>
                <w:sz w:val="22"/>
                <w:lang w:val="en-PH"/>
              </w:rPr>
            </w:pPr>
            <w:r w:rsidRPr="0024732C">
              <w:rPr>
                <w:b/>
                <w:bCs/>
                <w:sz w:val="22"/>
                <w:lang w:val="en-PH"/>
              </w:rPr>
              <w:t>Total</w:t>
            </w:r>
          </w:p>
        </w:tc>
        <w:tc>
          <w:tcPr>
            <w:tcW w:w="1560" w:type="dxa"/>
            <w:shd w:val="clear" w:color="auto" w:fill="auto"/>
            <w:noWrap/>
            <w:vAlign w:val="bottom"/>
            <w:hideMark/>
          </w:tcPr>
          <w:p w:rsidR="00B074D9" w:rsidRPr="0024732C" w:rsidRDefault="00F33B41" w:rsidP="00E55775">
            <w:pPr>
              <w:jc w:val="right"/>
              <w:rPr>
                <w:b/>
                <w:bCs/>
                <w:sz w:val="22"/>
                <w:lang w:val="en-PH"/>
              </w:rPr>
            </w:pPr>
            <w:r w:rsidRPr="0024732C">
              <w:rPr>
                <w:b/>
                <w:bCs/>
                <w:sz w:val="22"/>
                <w:lang w:val="en-PH"/>
              </w:rPr>
              <w:t>8,943,979.48</w:t>
            </w:r>
          </w:p>
        </w:tc>
        <w:tc>
          <w:tcPr>
            <w:tcW w:w="1523" w:type="dxa"/>
            <w:shd w:val="clear" w:color="auto" w:fill="auto"/>
            <w:noWrap/>
            <w:vAlign w:val="bottom"/>
            <w:hideMark/>
          </w:tcPr>
          <w:p w:rsidR="00B074D9" w:rsidRPr="0024732C" w:rsidRDefault="00DA39D5" w:rsidP="00E55775">
            <w:pPr>
              <w:jc w:val="right"/>
              <w:rPr>
                <w:b/>
                <w:bCs/>
                <w:sz w:val="22"/>
                <w:lang w:val="en-PH"/>
              </w:rPr>
            </w:pPr>
            <w:r w:rsidRPr="0024732C">
              <w:rPr>
                <w:b/>
                <w:bCs/>
                <w:sz w:val="22"/>
                <w:lang w:val="en-PH"/>
              </w:rPr>
              <w:t>11,827,292.32</w:t>
            </w:r>
          </w:p>
        </w:tc>
      </w:tr>
    </w:tbl>
    <w:p w:rsidR="00B074D9" w:rsidRDefault="00B074D9" w:rsidP="00124F98">
      <w:pPr>
        <w:tabs>
          <w:tab w:val="left" w:pos="360"/>
          <w:tab w:val="left" w:pos="900"/>
          <w:tab w:val="left" w:pos="1080"/>
          <w:tab w:val="left" w:pos="1350"/>
          <w:tab w:val="left" w:pos="2160"/>
        </w:tabs>
        <w:jc w:val="both"/>
        <w:rPr>
          <w:b/>
          <w:sz w:val="24"/>
          <w:szCs w:val="24"/>
        </w:rPr>
      </w:pPr>
    </w:p>
    <w:p w:rsidR="00172F68" w:rsidRDefault="00172F68" w:rsidP="00A010EE">
      <w:pPr>
        <w:pStyle w:val="BodyTextIndent"/>
        <w:numPr>
          <w:ilvl w:val="0"/>
          <w:numId w:val="18"/>
        </w:numPr>
        <w:ind w:left="426"/>
        <w:rPr>
          <w:b/>
          <w:szCs w:val="24"/>
        </w:rPr>
      </w:pPr>
      <w:r w:rsidRPr="00172F68">
        <w:rPr>
          <w:b/>
          <w:szCs w:val="24"/>
        </w:rPr>
        <w:t>Non-Cash Expenses</w:t>
      </w:r>
    </w:p>
    <w:p w:rsidR="00172F68" w:rsidRDefault="00172F68" w:rsidP="00124F98">
      <w:pPr>
        <w:tabs>
          <w:tab w:val="left" w:pos="360"/>
          <w:tab w:val="left" w:pos="900"/>
          <w:tab w:val="left" w:pos="1080"/>
          <w:tab w:val="left" w:pos="1350"/>
          <w:tab w:val="left" w:pos="2160"/>
        </w:tabs>
        <w:jc w:val="both"/>
        <w:rPr>
          <w:b/>
          <w:sz w:val="24"/>
          <w:szCs w:val="24"/>
        </w:rPr>
      </w:pPr>
    </w:p>
    <w:p w:rsidR="00A422DE" w:rsidRPr="00940833" w:rsidRDefault="00A422DE" w:rsidP="00A010EE">
      <w:pPr>
        <w:ind w:left="426"/>
        <w:jc w:val="both"/>
        <w:rPr>
          <w:sz w:val="24"/>
        </w:rPr>
      </w:pPr>
      <w:r w:rsidRPr="00940833">
        <w:rPr>
          <w:sz w:val="24"/>
        </w:rPr>
        <w:t>This expense account consists of all the depreciation expenses for the property</w:t>
      </w:r>
      <w:r w:rsidR="006F7F88" w:rsidRPr="000D023B">
        <w:rPr>
          <w:sz w:val="24"/>
        </w:rPr>
        <w:t>,</w:t>
      </w:r>
      <w:r w:rsidRPr="00940833">
        <w:rPr>
          <w:sz w:val="24"/>
        </w:rPr>
        <w:t xml:space="preserve"> plant and equipment and impairment loss from receivables broken down as follows:</w:t>
      </w:r>
    </w:p>
    <w:p w:rsidR="00A422DE" w:rsidRDefault="00A422DE" w:rsidP="00124F98">
      <w:pPr>
        <w:tabs>
          <w:tab w:val="left" w:pos="360"/>
          <w:tab w:val="left" w:pos="900"/>
          <w:tab w:val="left" w:pos="1080"/>
          <w:tab w:val="left" w:pos="1350"/>
          <w:tab w:val="left" w:pos="2160"/>
        </w:tabs>
        <w:jc w:val="both"/>
        <w:rPr>
          <w:b/>
          <w:sz w:val="24"/>
          <w:szCs w:val="24"/>
        </w:rPr>
      </w:pPr>
    </w:p>
    <w:p w:rsidR="00172F68" w:rsidRDefault="00172F68" w:rsidP="00A010EE">
      <w:pPr>
        <w:pStyle w:val="BodyTextIndent"/>
        <w:numPr>
          <w:ilvl w:val="1"/>
          <w:numId w:val="18"/>
        </w:numPr>
        <w:ind w:left="993" w:hanging="567"/>
        <w:rPr>
          <w:b/>
          <w:szCs w:val="24"/>
        </w:rPr>
      </w:pPr>
      <w:r>
        <w:rPr>
          <w:b/>
          <w:szCs w:val="24"/>
        </w:rPr>
        <w:t>Depreciation</w:t>
      </w:r>
    </w:p>
    <w:p w:rsidR="00511D65" w:rsidRDefault="00511D65" w:rsidP="00A6416C">
      <w:pPr>
        <w:tabs>
          <w:tab w:val="left" w:pos="360"/>
          <w:tab w:val="left" w:pos="900"/>
          <w:tab w:val="left" w:pos="1080"/>
          <w:tab w:val="left" w:pos="1350"/>
          <w:tab w:val="left" w:pos="2160"/>
        </w:tabs>
        <w:ind w:left="360"/>
        <w:jc w:val="both"/>
        <w:rPr>
          <w:b/>
          <w:sz w:val="24"/>
          <w:szCs w:val="24"/>
        </w:rPr>
      </w:pPr>
    </w:p>
    <w:tbl>
      <w:tblPr>
        <w:tblW w:w="7783"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16"/>
        <w:gridCol w:w="1701"/>
        <w:gridCol w:w="1566"/>
      </w:tblGrid>
      <w:tr w:rsidR="0024732C" w:rsidRPr="0024732C" w:rsidTr="00A010EE">
        <w:trPr>
          <w:trHeight w:val="250"/>
          <w:tblHeader/>
        </w:trPr>
        <w:tc>
          <w:tcPr>
            <w:tcW w:w="4516" w:type="dxa"/>
            <w:shd w:val="clear" w:color="auto" w:fill="auto"/>
            <w:noWrap/>
            <w:vAlign w:val="center"/>
            <w:hideMark/>
          </w:tcPr>
          <w:p w:rsidR="00A6416C" w:rsidRPr="0024732C" w:rsidRDefault="00A6416C" w:rsidP="00A6416C">
            <w:pPr>
              <w:ind w:left="360"/>
              <w:jc w:val="center"/>
              <w:rPr>
                <w:b/>
                <w:bCs/>
                <w:color w:val="000000"/>
                <w:sz w:val="22"/>
                <w:lang w:val="en-PH"/>
              </w:rPr>
            </w:pPr>
            <w:r w:rsidRPr="0024732C">
              <w:rPr>
                <w:b/>
                <w:bCs/>
                <w:color w:val="000000"/>
                <w:sz w:val="22"/>
                <w:lang w:val="en-PH"/>
              </w:rPr>
              <w:t>Account Title</w:t>
            </w:r>
          </w:p>
        </w:tc>
        <w:tc>
          <w:tcPr>
            <w:tcW w:w="1701" w:type="dxa"/>
            <w:shd w:val="clear" w:color="auto" w:fill="auto"/>
            <w:noWrap/>
            <w:vAlign w:val="center"/>
            <w:hideMark/>
          </w:tcPr>
          <w:p w:rsidR="00A6416C" w:rsidRPr="0024732C" w:rsidRDefault="00A6416C" w:rsidP="00A6416C">
            <w:pPr>
              <w:ind w:left="360"/>
              <w:jc w:val="center"/>
              <w:rPr>
                <w:b/>
                <w:bCs/>
                <w:color w:val="000000"/>
                <w:sz w:val="22"/>
                <w:lang w:val="en-PH"/>
              </w:rPr>
            </w:pPr>
            <w:r w:rsidRPr="0024732C">
              <w:rPr>
                <w:b/>
                <w:bCs/>
                <w:color w:val="000000"/>
                <w:sz w:val="22"/>
                <w:lang w:val="en-PH"/>
              </w:rPr>
              <w:t>2016</w:t>
            </w:r>
          </w:p>
        </w:tc>
        <w:tc>
          <w:tcPr>
            <w:tcW w:w="1566" w:type="dxa"/>
            <w:shd w:val="clear" w:color="auto" w:fill="auto"/>
            <w:noWrap/>
            <w:vAlign w:val="center"/>
            <w:hideMark/>
          </w:tcPr>
          <w:p w:rsidR="00A6416C" w:rsidRPr="0024732C" w:rsidRDefault="00A6416C" w:rsidP="00A6416C">
            <w:pPr>
              <w:ind w:left="360"/>
              <w:jc w:val="center"/>
              <w:rPr>
                <w:b/>
                <w:bCs/>
                <w:color w:val="000000"/>
                <w:sz w:val="22"/>
                <w:lang w:val="en-PH"/>
              </w:rPr>
            </w:pPr>
            <w:r w:rsidRPr="0024732C">
              <w:rPr>
                <w:b/>
                <w:bCs/>
                <w:color w:val="000000"/>
                <w:sz w:val="22"/>
                <w:lang w:val="en-PH"/>
              </w:rPr>
              <w:t>2015</w:t>
            </w:r>
          </w:p>
        </w:tc>
      </w:tr>
      <w:tr w:rsidR="00A6416C" w:rsidRPr="0024732C" w:rsidTr="00A010EE">
        <w:trPr>
          <w:trHeight w:val="250"/>
        </w:trPr>
        <w:tc>
          <w:tcPr>
            <w:tcW w:w="4516"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 xml:space="preserve">Depreciation - Buildings </w:t>
            </w:r>
            <w:r w:rsidR="001304F2" w:rsidRPr="0024732C">
              <w:rPr>
                <w:color w:val="000000"/>
                <w:sz w:val="22"/>
              </w:rPr>
              <w:t>and</w:t>
            </w:r>
            <w:r w:rsidRPr="0024732C">
              <w:rPr>
                <w:color w:val="000000"/>
                <w:sz w:val="22"/>
              </w:rPr>
              <w:t xml:space="preserve"> Other Structures</w:t>
            </w:r>
          </w:p>
        </w:tc>
        <w:tc>
          <w:tcPr>
            <w:tcW w:w="1701" w:type="dxa"/>
            <w:shd w:val="clear" w:color="auto" w:fill="auto"/>
            <w:noWrap/>
            <w:hideMark/>
          </w:tcPr>
          <w:p w:rsidR="00A6416C" w:rsidRPr="0024732C" w:rsidRDefault="00A6416C" w:rsidP="0024732C">
            <w:pPr>
              <w:ind w:left="360"/>
              <w:jc w:val="right"/>
              <w:rPr>
                <w:color w:val="000000"/>
                <w:sz w:val="22"/>
                <w:lang w:val="en-PH"/>
              </w:rPr>
            </w:pPr>
            <w:r w:rsidRPr="0024732C">
              <w:rPr>
                <w:color w:val="000000"/>
                <w:sz w:val="22"/>
                <w:lang w:val="en-PH"/>
              </w:rPr>
              <w:t>529,554.05</w:t>
            </w:r>
          </w:p>
        </w:tc>
        <w:tc>
          <w:tcPr>
            <w:tcW w:w="1566" w:type="dxa"/>
            <w:shd w:val="clear" w:color="auto" w:fill="auto"/>
            <w:noWrap/>
            <w:hideMark/>
          </w:tcPr>
          <w:p w:rsidR="00A6416C" w:rsidRPr="0024732C" w:rsidRDefault="00A6416C" w:rsidP="0024732C">
            <w:pPr>
              <w:tabs>
                <w:tab w:val="left" w:pos="360"/>
              </w:tabs>
              <w:ind w:left="360"/>
              <w:jc w:val="right"/>
              <w:rPr>
                <w:bCs/>
                <w:color w:val="000000"/>
                <w:sz w:val="22"/>
              </w:rPr>
            </w:pPr>
            <w:r w:rsidRPr="0024732C">
              <w:rPr>
                <w:bCs/>
                <w:color w:val="000000"/>
                <w:sz w:val="22"/>
              </w:rPr>
              <w:t>355,854.66</w:t>
            </w:r>
          </w:p>
        </w:tc>
      </w:tr>
      <w:tr w:rsidR="00A6416C" w:rsidRPr="0024732C" w:rsidTr="00A010EE">
        <w:trPr>
          <w:trHeight w:val="250"/>
        </w:trPr>
        <w:tc>
          <w:tcPr>
            <w:tcW w:w="4516"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 xml:space="preserve">Depreciation - Machinery </w:t>
            </w:r>
            <w:r w:rsidR="001304F2" w:rsidRPr="0024732C">
              <w:rPr>
                <w:color w:val="000000"/>
                <w:sz w:val="22"/>
              </w:rPr>
              <w:t>and</w:t>
            </w:r>
            <w:r w:rsidRPr="0024732C">
              <w:rPr>
                <w:color w:val="000000"/>
                <w:sz w:val="22"/>
              </w:rPr>
              <w:t xml:space="preserve"> Equipment</w:t>
            </w:r>
          </w:p>
        </w:tc>
        <w:tc>
          <w:tcPr>
            <w:tcW w:w="1701" w:type="dxa"/>
            <w:shd w:val="clear" w:color="auto" w:fill="auto"/>
            <w:noWrap/>
            <w:hideMark/>
          </w:tcPr>
          <w:p w:rsidR="00A6416C" w:rsidRPr="0024732C" w:rsidRDefault="00A6416C" w:rsidP="0024732C">
            <w:pPr>
              <w:jc w:val="right"/>
              <w:rPr>
                <w:color w:val="000000"/>
                <w:sz w:val="22"/>
                <w:lang w:val="en-PH"/>
              </w:rPr>
            </w:pPr>
            <w:r w:rsidRPr="0024732C">
              <w:rPr>
                <w:color w:val="000000"/>
                <w:sz w:val="22"/>
                <w:lang w:val="en-PH"/>
              </w:rPr>
              <w:t>4,062,353.85</w:t>
            </w:r>
          </w:p>
        </w:tc>
        <w:tc>
          <w:tcPr>
            <w:tcW w:w="1566" w:type="dxa"/>
            <w:shd w:val="clear" w:color="auto" w:fill="auto"/>
            <w:noWrap/>
            <w:hideMark/>
          </w:tcPr>
          <w:p w:rsidR="00A6416C" w:rsidRPr="0024732C" w:rsidRDefault="00A6416C" w:rsidP="0024732C">
            <w:pPr>
              <w:tabs>
                <w:tab w:val="left" w:pos="360"/>
              </w:tabs>
              <w:jc w:val="right"/>
              <w:rPr>
                <w:bCs/>
                <w:color w:val="000000"/>
                <w:sz w:val="22"/>
              </w:rPr>
            </w:pPr>
            <w:r w:rsidRPr="0024732C">
              <w:rPr>
                <w:bCs/>
                <w:color w:val="000000"/>
                <w:sz w:val="22"/>
              </w:rPr>
              <w:t>4,780,184.22</w:t>
            </w:r>
          </w:p>
        </w:tc>
      </w:tr>
      <w:tr w:rsidR="00A6416C" w:rsidRPr="0024732C" w:rsidTr="00A010EE">
        <w:trPr>
          <w:trHeight w:val="250"/>
        </w:trPr>
        <w:tc>
          <w:tcPr>
            <w:tcW w:w="4516"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Depreciation - Transportation Equipment</w:t>
            </w:r>
          </w:p>
        </w:tc>
        <w:tc>
          <w:tcPr>
            <w:tcW w:w="1701" w:type="dxa"/>
            <w:shd w:val="clear" w:color="auto" w:fill="auto"/>
            <w:noWrap/>
            <w:hideMark/>
          </w:tcPr>
          <w:p w:rsidR="00A6416C" w:rsidRPr="0024732C" w:rsidRDefault="00A6416C" w:rsidP="0024732C">
            <w:pPr>
              <w:jc w:val="right"/>
              <w:rPr>
                <w:color w:val="000000"/>
                <w:sz w:val="22"/>
                <w:lang w:val="en-PH"/>
              </w:rPr>
            </w:pPr>
            <w:r w:rsidRPr="0024732C">
              <w:rPr>
                <w:color w:val="000000"/>
                <w:sz w:val="22"/>
                <w:lang w:val="en-PH"/>
              </w:rPr>
              <w:t>1,054,495.61</w:t>
            </w:r>
          </w:p>
        </w:tc>
        <w:tc>
          <w:tcPr>
            <w:tcW w:w="1566" w:type="dxa"/>
            <w:shd w:val="clear" w:color="auto" w:fill="auto"/>
            <w:noWrap/>
            <w:hideMark/>
          </w:tcPr>
          <w:p w:rsidR="00A6416C" w:rsidRPr="0024732C" w:rsidRDefault="00A6416C" w:rsidP="0024732C">
            <w:pPr>
              <w:tabs>
                <w:tab w:val="left" w:pos="360"/>
              </w:tabs>
              <w:jc w:val="right"/>
              <w:rPr>
                <w:bCs/>
                <w:color w:val="000000"/>
                <w:sz w:val="22"/>
              </w:rPr>
            </w:pPr>
            <w:r w:rsidRPr="0024732C">
              <w:rPr>
                <w:bCs/>
                <w:color w:val="000000"/>
                <w:sz w:val="22"/>
              </w:rPr>
              <w:t>762,121.31</w:t>
            </w:r>
          </w:p>
        </w:tc>
      </w:tr>
      <w:tr w:rsidR="00A6416C" w:rsidRPr="0024732C" w:rsidTr="00A010EE">
        <w:trPr>
          <w:trHeight w:val="250"/>
        </w:trPr>
        <w:tc>
          <w:tcPr>
            <w:tcW w:w="4516"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Depreciation - Furniture, Fixtures and Books</w:t>
            </w:r>
          </w:p>
        </w:tc>
        <w:tc>
          <w:tcPr>
            <w:tcW w:w="1701" w:type="dxa"/>
            <w:shd w:val="clear" w:color="auto" w:fill="auto"/>
            <w:noWrap/>
            <w:hideMark/>
          </w:tcPr>
          <w:p w:rsidR="00A6416C" w:rsidRPr="0024732C" w:rsidRDefault="00A6416C" w:rsidP="0024732C">
            <w:pPr>
              <w:ind w:left="360"/>
              <w:jc w:val="right"/>
              <w:rPr>
                <w:color w:val="000000"/>
                <w:sz w:val="22"/>
                <w:lang w:val="en-PH"/>
              </w:rPr>
            </w:pPr>
            <w:r w:rsidRPr="0024732C">
              <w:rPr>
                <w:color w:val="000000"/>
                <w:sz w:val="22"/>
                <w:lang w:val="en-PH"/>
              </w:rPr>
              <w:t> 214,362.68</w:t>
            </w:r>
          </w:p>
        </w:tc>
        <w:tc>
          <w:tcPr>
            <w:tcW w:w="1566" w:type="dxa"/>
            <w:shd w:val="clear" w:color="auto" w:fill="auto"/>
            <w:noWrap/>
            <w:hideMark/>
          </w:tcPr>
          <w:p w:rsidR="00A6416C" w:rsidRPr="0024732C" w:rsidRDefault="00A6416C" w:rsidP="0024732C">
            <w:pPr>
              <w:tabs>
                <w:tab w:val="left" w:pos="360"/>
              </w:tabs>
              <w:ind w:left="360"/>
              <w:jc w:val="right"/>
              <w:rPr>
                <w:bCs/>
                <w:color w:val="000000"/>
                <w:sz w:val="22"/>
              </w:rPr>
            </w:pPr>
            <w:r w:rsidRPr="0024732C">
              <w:rPr>
                <w:bCs/>
                <w:color w:val="000000"/>
                <w:sz w:val="22"/>
              </w:rPr>
              <w:t>272,260.49</w:t>
            </w:r>
          </w:p>
        </w:tc>
      </w:tr>
      <w:tr w:rsidR="0024732C" w:rsidRPr="0024732C" w:rsidTr="00A010EE">
        <w:trPr>
          <w:trHeight w:val="250"/>
        </w:trPr>
        <w:tc>
          <w:tcPr>
            <w:tcW w:w="4516" w:type="dxa"/>
            <w:shd w:val="clear" w:color="auto" w:fill="auto"/>
            <w:noWrap/>
            <w:vAlign w:val="center"/>
            <w:hideMark/>
          </w:tcPr>
          <w:p w:rsidR="00A6416C" w:rsidRPr="0024732C" w:rsidRDefault="00A6416C" w:rsidP="0024732C">
            <w:pPr>
              <w:rPr>
                <w:b/>
                <w:bCs/>
                <w:color w:val="000000"/>
                <w:sz w:val="22"/>
                <w:lang w:val="en-PH"/>
              </w:rPr>
            </w:pPr>
            <w:r w:rsidRPr="0024732C">
              <w:rPr>
                <w:b/>
                <w:bCs/>
                <w:color w:val="000000"/>
                <w:sz w:val="22"/>
              </w:rPr>
              <w:t xml:space="preserve">Total </w:t>
            </w:r>
          </w:p>
        </w:tc>
        <w:tc>
          <w:tcPr>
            <w:tcW w:w="1701" w:type="dxa"/>
            <w:shd w:val="clear" w:color="auto" w:fill="auto"/>
            <w:noWrap/>
            <w:vAlign w:val="center"/>
            <w:hideMark/>
          </w:tcPr>
          <w:p w:rsidR="00A6416C" w:rsidRPr="0024732C" w:rsidRDefault="00A6416C" w:rsidP="00616143">
            <w:pPr>
              <w:jc w:val="right"/>
              <w:rPr>
                <w:b/>
                <w:color w:val="000000"/>
                <w:sz w:val="22"/>
                <w:lang w:val="en-PH"/>
              </w:rPr>
            </w:pPr>
            <w:r w:rsidRPr="0024732C">
              <w:rPr>
                <w:b/>
                <w:color w:val="000000"/>
                <w:sz w:val="22"/>
                <w:lang w:val="en-PH"/>
              </w:rPr>
              <w:t>5,860,766.19</w:t>
            </w:r>
          </w:p>
        </w:tc>
        <w:tc>
          <w:tcPr>
            <w:tcW w:w="1566" w:type="dxa"/>
            <w:shd w:val="clear" w:color="auto" w:fill="auto"/>
            <w:noWrap/>
            <w:vAlign w:val="center"/>
            <w:hideMark/>
          </w:tcPr>
          <w:p w:rsidR="00A6416C" w:rsidRPr="0024732C" w:rsidRDefault="00A6416C" w:rsidP="00616143">
            <w:pPr>
              <w:tabs>
                <w:tab w:val="left" w:pos="360"/>
              </w:tabs>
              <w:jc w:val="right"/>
              <w:rPr>
                <w:b/>
                <w:bCs/>
                <w:color w:val="000000"/>
                <w:sz w:val="22"/>
              </w:rPr>
            </w:pPr>
            <w:r w:rsidRPr="0024732C">
              <w:rPr>
                <w:b/>
                <w:bCs/>
                <w:color w:val="000000"/>
                <w:sz w:val="22"/>
              </w:rPr>
              <w:t>6,170,420.68</w:t>
            </w:r>
          </w:p>
        </w:tc>
      </w:tr>
    </w:tbl>
    <w:p w:rsidR="00A010EE" w:rsidRDefault="00A010EE">
      <w:pPr>
        <w:rPr>
          <w:b/>
          <w:sz w:val="24"/>
          <w:szCs w:val="24"/>
        </w:rPr>
      </w:pPr>
      <w:r>
        <w:rPr>
          <w:b/>
          <w:sz w:val="24"/>
          <w:szCs w:val="24"/>
        </w:rPr>
        <w:br w:type="page"/>
      </w:r>
    </w:p>
    <w:p w:rsidR="00511D65" w:rsidRDefault="00511D65" w:rsidP="00A010EE">
      <w:pPr>
        <w:pStyle w:val="BodyTextIndent"/>
        <w:numPr>
          <w:ilvl w:val="1"/>
          <w:numId w:val="18"/>
        </w:numPr>
        <w:ind w:left="993" w:hanging="567"/>
        <w:rPr>
          <w:b/>
          <w:bCs/>
          <w:color w:val="000000"/>
          <w:szCs w:val="24"/>
        </w:rPr>
      </w:pPr>
      <w:r w:rsidRPr="00A13542">
        <w:rPr>
          <w:b/>
          <w:bCs/>
          <w:color w:val="000000"/>
          <w:szCs w:val="24"/>
        </w:rPr>
        <w:lastRenderedPageBreak/>
        <w:t>Impairment Loss</w:t>
      </w:r>
    </w:p>
    <w:p w:rsidR="00511D65" w:rsidRDefault="00511D65" w:rsidP="00A6416C">
      <w:pPr>
        <w:tabs>
          <w:tab w:val="left" w:pos="360"/>
          <w:tab w:val="left" w:pos="900"/>
          <w:tab w:val="left" w:pos="1080"/>
          <w:tab w:val="left" w:pos="1350"/>
          <w:tab w:val="left" w:pos="2160"/>
        </w:tabs>
        <w:ind w:left="360"/>
        <w:jc w:val="both"/>
        <w:rPr>
          <w:b/>
          <w:bCs/>
          <w:color w:val="000000"/>
          <w:sz w:val="24"/>
          <w:szCs w:val="24"/>
        </w:rPr>
      </w:pPr>
      <w:r>
        <w:rPr>
          <w:b/>
          <w:bCs/>
          <w:color w:val="000000"/>
          <w:sz w:val="24"/>
          <w:szCs w:val="24"/>
        </w:rPr>
        <w:tab/>
      </w:r>
    </w:p>
    <w:tbl>
      <w:tblPr>
        <w:tblW w:w="7740"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40"/>
        <w:gridCol w:w="1890"/>
        <w:gridCol w:w="1710"/>
      </w:tblGrid>
      <w:tr w:rsidR="00A6416C" w:rsidRPr="0024732C" w:rsidTr="00991002">
        <w:trPr>
          <w:trHeight w:val="260"/>
        </w:trPr>
        <w:tc>
          <w:tcPr>
            <w:tcW w:w="4140" w:type="dxa"/>
            <w:shd w:val="clear" w:color="auto" w:fill="auto"/>
            <w:noWrap/>
            <w:vAlign w:val="center"/>
            <w:hideMark/>
          </w:tcPr>
          <w:p w:rsidR="00A6416C" w:rsidRPr="0024732C" w:rsidRDefault="00A6416C" w:rsidP="00A6416C">
            <w:pPr>
              <w:ind w:left="360"/>
              <w:jc w:val="center"/>
              <w:rPr>
                <w:b/>
                <w:bCs/>
                <w:color w:val="000000"/>
                <w:sz w:val="22"/>
                <w:lang w:val="en-PH"/>
              </w:rPr>
            </w:pPr>
            <w:r w:rsidRPr="0024732C">
              <w:rPr>
                <w:b/>
                <w:bCs/>
                <w:color w:val="000000"/>
                <w:sz w:val="22"/>
                <w:lang w:val="en-PH"/>
              </w:rPr>
              <w:t>Account Title</w:t>
            </w:r>
          </w:p>
        </w:tc>
        <w:tc>
          <w:tcPr>
            <w:tcW w:w="1890" w:type="dxa"/>
            <w:shd w:val="clear" w:color="auto" w:fill="auto"/>
            <w:noWrap/>
            <w:vAlign w:val="center"/>
            <w:hideMark/>
          </w:tcPr>
          <w:p w:rsidR="00A6416C" w:rsidRPr="0024732C" w:rsidRDefault="00A6416C" w:rsidP="002367EE">
            <w:pPr>
              <w:ind w:left="360"/>
              <w:jc w:val="center"/>
              <w:rPr>
                <w:b/>
                <w:bCs/>
                <w:color w:val="000000"/>
                <w:sz w:val="22"/>
                <w:lang w:val="en-PH"/>
              </w:rPr>
            </w:pPr>
            <w:r w:rsidRPr="0024732C">
              <w:rPr>
                <w:b/>
                <w:bCs/>
                <w:color w:val="000000"/>
                <w:sz w:val="22"/>
                <w:lang w:val="en-PH"/>
              </w:rPr>
              <w:t>2016</w:t>
            </w:r>
          </w:p>
        </w:tc>
        <w:tc>
          <w:tcPr>
            <w:tcW w:w="1710" w:type="dxa"/>
            <w:shd w:val="clear" w:color="auto" w:fill="auto"/>
            <w:noWrap/>
            <w:vAlign w:val="center"/>
            <w:hideMark/>
          </w:tcPr>
          <w:p w:rsidR="00A6416C" w:rsidRPr="0024732C" w:rsidRDefault="00A6416C" w:rsidP="002367EE">
            <w:pPr>
              <w:ind w:left="360"/>
              <w:jc w:val="center"/>
              <w:rPr>
                <w:b/>
                <w:bCs/>
                <w:color w:val="000000"/>
                <w:sz w:val="22"/>
                <w:lang w:val="en-PH"/>
              </w:rPr>
            </w:pPr>
            <w:r w:rsidRPr="0024732C">
              <w:rPr>
                <w:b/>
                <w:bCs/>
                <w:color w:val="000000"/>
                <w:sz w:val="22"/>
                <w:lang w:val="en-PH"/>
              </w:rPr>
              <w:t>2015</w:t>
            </w:r>
          </w:p>
        </w:tc>
      </w:tr>
      <w:tr w:rsidR="00A6416C" w:rsidRPr="0024732C" w:rsidTr="00991002">
        <w:trPr>
          <w:trHeight w:val="260"/>
        </w:trPr>
        <w:tc>
          <w:tcPr>
            <w:tcW w:w="4140"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Impairment Loss - Loans and Receivables</w:t>
            </w:r>
          </w:p>
        </w:tc>
        <w:tc>
          <w:tcPr>
            <w:tcW w:w="1890" w:type="dxa"/>
            <w:shd w:val="clear" w:color="auto" w:fill="auto"/>
            <w:noWrap/>
            <w:vAlign w:val="center"/>
            <w:hideMark/>
          </w:tcPr>
          <w:p w:rsidR="00A6416C" w:rsidRPr="0024732C" w:rsidRDefault="00A6416C" w:rsidP="00A6416C">
            <w:pPr>
              <w:ind w:left="360"/>
              <w:jc w:val="right"/>
              <w:rPr>
                <w:color w:val="000000"/>
                <w:sz w:val="22"/>
                <w:lang w:val="en-PH"/>
              </w:rPr>
            </w:pPr>
            <w:r w:rsidRPr="0024732C">
              <w:rPr>
                <w:color w:val="000000"/>
                <w:sz w:val="22"/>
                <w:lang w:val="en-PH"/>
              </w:rPr>
              <w:t>212,337.67</w:t>
            </w:r>
          </w:p>
        </w:tc>
        <w:tc>
          <w:tcPr>
            <w:tcW w:w="1710" w:type="dxa"/>
            <w:shd w:val="clear" w:color="auto" w:fill="auto"/>
            <w:noWrap/>
            <w:vAlign w:val="center"/>
            <w:hideMark/>
          </w:tcPr>
          <w:p w:rsidR="00A6416C" w:rsidRPr="0024732C" w:rsidRDefault="00A6416C" w:rsidP="00A6416C">
            <w:pPr>
              <w:tabs>
                <w:tab w:val="left" w:pos="360"/>
              </w:tabs>
              <w:ind w:left="360"/>
              <w:jc w:val="right"/>
              <w:rPr>
                <w:bCs/>
                <w:color w:val="000000"/>
                <w:sz w:val="22"/>
              </w:rPr>
            </w:pPr>
            <w:r w:rsidRPr="0024732C">
              <w:rPr>
                <w:bCs/>
                <w:color w:val="000000"/>
                <w:sz w:val="22"/>
              </w:rPr>
              <w:t>231,273.39</w:t>
            </w:r>
          </w:p>
        </w:tc>
      </w:tr>
      <w:tr w:rsidR="00A6416C" w:rsidRPr="0024732C" w:rsidTr="00991002">
        <w:trPr>
          <w:trHeight w:val="260"/>
        </w:trPr>
        <w:tc>
          <w:tcPr>
            <w:tcW w:w="4140" w:type="dxa"/>
            <w:shd w:val="clear" w:color="auto" w:fill="auto"/>
            <w:noWrap/>
            <w:vAlign w:val="center"/>
            <w:hideMark/>
          </w:tcPr>
          <w:p w:rsidR="00A6416C" w:rsidRPr="0024732C" w:rsidRDefault="00A6416C" w:rsidP="009507F3">
            <w:pPr>
              <w:rPr>
                <w:color w:val="000000"/>
                <w:sz w:val="22"/>
                <w:lang w:val="en-PH"/>
              </w:rPr>
            </w:pPr>
            <w:r w:rsidRPr="0024732C">
              <w:rPr>
                <w:color w:val="000000"/>
                <w:sz w:val="22"/>
              </w:rPr>
              <w:t>Impairment Loss - Other Receivables</w:t>
            </w:r>
          </w:p>
        </w:tc>
        <w:tc>
          <w:tcPr>
            <w:tcW w:w="1890" w:type="dxa"/>
            <w:shd w:val="clear" w:color="auto" w:fill="auto"/>
            <w:noWrap/>
            <w:vAlign w:val="center"/>
            <w:hideMark/>
          </w:tcPr>
          <w:p w:rsidR="00A6416C" w:rsidRPr="0024732C" w:rsidRDefault="00A6416C" w:rsidP="00A6416C">
            <w:pPr>
              <w:ind w:left="360"/>
              <w:jc w:val="right"/>
              <w:rPr>
                <w:color w:val="000000"/>
                <w:sz w:val="22"/>
                <w:lang w:val="en-PH"/>
              </w:rPr>
            </w:pPr>
            <w:r w:rsidRPr="0024732C">
              <w:rPr>
                <w:color w:val="000000"/>
                <w:sz w:val="22"/>
                <w:lang w:val="en-PH"/>
              </w:rPr>
              <w:t>-</w:t>
            </w:r>
          </w:p>
        </w:tc>
        <w:tc>
          <w:tcPr>
            <w:tcW w:w="1710" w:type="dxa"/>
            <w:shd w:val="clear" w:color="auto" w:fill="auto"/>
            <w:noWrap/>
            <w:vAlign w:val="center"/>
            <w:hideMark/>
          </w:tcPr>
          <w:p w:rsidR="00A6416C" w:rsidRPr="0024732C" w:rsidRDefault="00A6416C" w:rsidP="00A6416C">
            <w:pPr>
              <w:tabs>
                <w:tab w:val="left" w:pos="360"/>
              </w:tabs>
              <w:ind w:left="360"/>
              <w:jc w:val="right"/>
              <w:rPr>
                <w:bCs/>
                <w:color w:val="000000"/>
                <w:sz w:val="22"/>
              </w:rPr>
            </w:pPr>
            <w:r w:rsidRPr="0024732C">
              <w:rPr>
                <w:bCs/>
                <w:color w:val="000000"/>
                <w:sz w:val="22"/>
              </w:rPr>
              <w:t>46,315.39</w:t>
            </w:r>
          </w:p>
        </w:tc>
      </w:tr>
      <w:tr w:rsidR="00A6416C" w:rsidRPr="0024732C" w:rsidTr="00991002">
        <w:trPr>
          <w:trHeight w:val="260"/>
        </w:trPr>
        <w:tc>
          <w:tcPr>
            <w:tcW w:w="4140" w:type="dxa"/>
            <w:shd w:val="clear" w:color="auto" w:fill="auto"/>
            <w:noWrap/>
            <w:vAlign w:val="center"/>
            <w:hideMark/>
          </w:tcPr>
          <w:p w:rsidR="00A6416C" w:rsidRPr="0024732C" w:rsidRDefault="00A6416C" w:rsidP="0024732C">
            <w:pPr>
              <w:rPr>
                <w:b/>
                <w:bCs/>
                <w:color w:val="000000"/>
                <w:sz w:val="22"/>
                <w:lang w:val="en-PH"/>
              </w:rPr>
            </w:pPr>
            <w:r w:rsidRPr="0024732C">
              <w:rPr>
                <w:b/>
                <w:bCs/>
                <w:color w:val="000000"/>
                <w:sz w:val="22"/>
              </w:rPr>
              <w:t xml:space="preserve">Total </w:t>
            </w:r>
          </w:p>
        </w:tc>
        <w:tc>
          <w:tcPr>
            <w:tcW w:w="1890" w:type="dxa"/>
            <w:shd w:val="clear" w:color="auto" w:fill="auto"/>
            <w:noWrap/>
            <w:vAlign w:val="center"/>
            <w:hideMark/>
          </w:tcPr>
          <w:p w:rsidR="00A6416C" w:rsidRPr="0024732C" w:rsidRDefault="00A6416C" w:rsidP="00A6416C">
            <w:pPr>
              <w:ind w:left="360"/>
              <w:jc w:val="right"/>
              <w:rPr>
                <w:b/>
                <w:color w:val="000000"/>
                <w:sz w:val="22"/>
                <w:lang w:val="en-PH"/>
              </w:rPr>
            </w:pPr>
            <w:r w:rsidRPr="0024732C">
              <w:rPr>
                <w:b/>
                <w:color w:val="000000"/>
                <w:sz w:val="22"/>
                <w:lang w:val="en-PH"/>
              </w:rPr>
              <w:t>212,337.67</w:t>
            </w:r>
          </w:p>
        </w:tc>
        <w:tc>
          <w:tcPr>
            <w:tcW w:w="1710" w:type="dxa"/>
            <w:shd w:val="clear" w:color="auto" w:fill="auto"/>
            <w:noWrap/>
            <w:vAlign w:val="center"/>
            <w:hideMark/>
          </w:tcPr>
          <w:p w:rsidR="00A6416C" w:rsidRPr="0024732C" w:rsidRDefault="00A6416C" w:rsidP="00A6416C">
            <w:pPr>
              <w:tabs>
                <w:tab w:val="left" w:pos="360"/>
              </w:tabs>
              <w:ind w:left="360"/>
              <w:jc w:val="right"/>
              <w:rPr>
                <w:b/>
                <w:bCs/>
                <w:color w:val="000000"/>
                <w:sz w:val="22"/>
              </w:rPr>
            </w:pPr>
            <w:r w:rsidRPr="0024732C">
              <w:rPr>
                <w:b/>
                <w:bCs/>
                <w:color w:val="000000"/>
                <w:sz w:val="22"/>
              </w:rPr>
              <w:t>277,588.78</w:t>
            </w:r>
          </w:p>
        </w:tc>
      </w:tr>
    </w:tbl>
    <w:p w:rsidR="002229F7" w:rsidRDefault="002229F7" w:rsidP="00124F98">
      <w:pPr>
        <w:tabs>
          <w:tab w:val="left" w:pos="360"/>
          <w:tab w:val="left" w:pos="900"/>
          <w:tab w:val="left" w:pos="1080"/>
          <w:tab w:val="left" w:pos="1350"/>
          <w:tab w:val="left" w:pos="2160"/>
        </w:tabs>
        <w:jc w:val="both"/>
        <w:rPr>
          <w:b/>
          <w:sz w:val="24"/>
          <w:szCs w:val="24"/>
        </w:rPr>
      </w:pPr>
    </w:p>
    <w:p w:rsidR="00677CCB" w:rsidRDefault="00677CCB" w:rsidP="00A010EE">
      <w:pPr>
        <w:pStyle w:val="BodyTextIndent"/>
        <w:numPr>
          <w:ilvl w:val="0"/>
          <w:numId w:val="18"/>
        </w:numPr>
        <w:ind w:left="426" w:hanging="426"/>
        <w:rPr>
          <w:b/>
          <w:szCs w:val="24"/>
        </w:rPr>
      </w:pPr>
      <w:r>
        <w:rPr>
          <w:b/>
          <w:szCs w:val="24"/>
        </w:rPr>
        <w:t>Collection of Income/Revenue</w:t>
      </w:r>
    </w:p>
    <w:p w:rsidR="00677CCB" w:rsidRDefault="00677CCB" w:rsidP="00124F98">
      <w:pPr>
        <w:rPr>
          <w:b/>
          <w:sz w:val="24"/>
          <w:szCs w:val="24"/>
        </w:rPr>
      </w:pPr>
    </w:p>
    <w:p w:rsidR="00A422DE" w:rsidRPr="00940833" w:rsidRDefault="00A422DE" w:rsidP="00A010EE">
      <w:pPr>
        <w:ind w:left="426"/>
        <w:jc w:val="both"/>
        <w:rPr>
          <w:sz w:val="24"/>
        </w:rPr>
      </w:pPr>
      <w:r w:rsidRPr="00940833">
        <w:rPr>
          <w:sz w:val="24"/>
        </w:rPr>
        <w:t>The total income/income realized by the</w:t>
      </w:r>
      <w:r w:rsidR="00EA1A8F" w:rsidRPr="00940833">
        <w:rPr>
          <w:sz w:val="24"/>
        </w:rPr>
        <w:t xml:space="preserve"> College for C</w:t>
      </w:r>
      <w:r w:rsidRPr="00940833">
        <w:rPr>
          <w:sz w:val="24"/>
        </w:rPr>
        <w:t>Y 2016 is broken down as follows:</w:t>
      </w:r>
    </w:p>
    <w:p w:rsidR="00A422DE" w:rsidRDefault="00A422DE" w:rsidP="00124F98">
      <w:pPr>
        <w:rPr>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EF23D7" w:rsidRPr="0024732C" w:rsidTr="0024732C">
        <w:trPr>
          <w:trHeight w:val="264"/>
        </w:trPr>
        <w:tc>
          <w:tcPr>
            <w:tcW w:w="4680" w:type="dxa"/>
            <w:shd w:val="clear" w:color="auto" w:fill="auto"/>
            <w:noWrap/>
            <w:vAlign w:val="center"/>
            <w:hideMark/>
          </w:tcPr>
          <w:p w:rsidR="00EF23D7" w:rsidRPr="0024732C" w:rsidRDefault="00EF23D7" w:rsidP="00124F98">
            <w:pPr>
              <w:jc w:val="center"/>
              <w:rPr>
                <w:b/>
                <w:bCs/>
                <w:color w:val="000000"/>
                <w:sz w:val="22"/>
                <w:lang w:val="en-PH"/>
              </w:rPr>
            </w:pPr>
            <w:r w:rsidRPr="0024732C">
              <w:rPr>
                <w:b/>
                <w:bCs/>
                <w:color w:val="000000"/>
                <w:sz w:val="22"/>
                <w:lang w:val="en-PH"/>
              </w:rPr>
              <w:t>Account Title</w:t>
            </w:r>
          </w:p>
        </w:tc>
        <w:tc>
          <w:tcPr>
            <w:tcW w:w="1890" w:type="dxa"/>
            <w:shd w:val="clear" w:color="auto" w:fill="auto"/>
            <w:noWrap/>
            <w:vAlign w:val="bottom"/>
            <w:hideMark/>
          </w:tcPr>
          <w:p w:rsidR="00EF23D7" w:rsidRPr="0024732C" w:rsidRDefault="00EF23D7" w:rsidP="00124F98">
            <w:pPr>
              <w:jc w:val="center"/>
              <w:rPr>
                <w:b/>
                <w:bCs/>
                <w:color w:val="000000"/>
                <w:sz w:val="22"/>
                <w:lang w:val="en-PH"/>
              </w:rPr>
            </w:pPr>
            <w:r w:rsidRPr="0024732C">
              <w:rPr>
                <w:b/>
                <w:bCs/>
                <w:color w:val="000000"/>
                <w:sz w:val="22"/>
                <w:lang w:val="en-PH"/>
              </w:rPr>
              <w:t>2016</w:t>
            </w:r>
          </w:p>
        </w:tc>
        <w:tc>
          <w:tcPr>
            <w:tcW w:w="1710" w:type="dxa"/>
            <w:shd w:val="clear" w:color="auto" w:fill="auto"/>
            <w:noWrap/>
            <w:vAlign w:val="bottom"/>
            <w:hideMark/>
          </w:tcPr>
          <w:p w:rsidR="00EF23D7" w:rsidRPr="0024732C" w:rsidRDefault="00EF23D7" w:rsidP="00124F98">
            <w:pPr>
              <w:jc w:val="center"/>
              <w:rPr>
                <w:b/>
                <w:bCs/>
                <w:color w:val="000000"/>
                <w:sz w:val="22"/>
                <w:lang w:val="en-PH"/>
              </w:rPr>
            </w:pPr>
            <w:r w:rsidRPr="0024732C">
              <w:rPr>
                <w:b/>
                <w:bCs/>
                <w:color w:val="000000"/>
                <w:sz w:val="22"/>
                <w:lang w:val="en-PH"/>
              </w:rPr>
              <w:t>2015</w:t>
            </w:r>
          </w:p>
        </w:tc>
      </w:tr>
      <w:tr w:rsidR="00EF23D7" w:rsidRPr="0024732C" w:rsidTr="0024732C">
        <w:trPr>
          <w:trHeight w:val="264"/>
        </w:trPr>
        <w:tc>
          <w:tcPr>
            <w:tcW w:w="4680" w:type="dxa"/>
            <w:shd w:val="clear" w:color="auto" w:fill="auto"/>
            <w:noWrap/>
            <w:vAlign w:val="center"/>
            <w:hideMark/>
          </w:tcPr>
          <w:p w:rsidR="00EF23D7" w:rsidRPr="0024732C" w:rsidRDefault="00EF23D7" w:rsidP="00124F98">
            <w:pPr>
              <w:rPr>
                <w:color w:val="000000"/>
                <w:sz w:val="22"/>
                <w:lang w:val="en-PH"/>
              </w:rPr>
            </w:pPr>
            <w:r w:rsidRPr="0024732C">
              <w:rPr>
                <w:color w:val="000000"/>
                <w:sz w:val="22"/>
                <w:lang w:val="en-PH"/>
              </w:rPr>
              <w:t>School Fees</w:t>
            </w:r>
          </w:p>
        </w:tc>
        <w:tc>
          <w:tcPr>
            <w:tcW w:w="1890" w:type="dxa"/>
            <w:shd w:val="clear" w:color="auto" w:fill="auto"/>
            <w:noWrap/>
            <w:vAlign w:val="center"/>
            <w:hideMark/>
          </w:tcPr>
          <w:p w:rsidR="00EF23D7" w:rsidRPr="0024732C" w:rsidRDefault="00EF23D7" w:rsidP="00735EFA">
            <w:pPr>
              <w:jc w:val="right"/>
              <w:rPr>
                <w:color w:val="000000"/>
                <w:sz w:val="22"/>
                <w:lang w:val="en-PH"/>
              </w:rPr>
            </w:pPr>
            <w:r w:rsidRPr="0024732C">
              <w:rPr>
                <w:color w:val="000000"/>
                <w:sz w:val="22"/>
                <w:lang w:val="en-PH"/>
              </w:rPr>
              <w:t> 151,325,264.75</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185,103,280.72</w:t>
            </w:r>
          </w:p>
        </w:tc>
      </w:tr>
      <w:tr w:rsidR="00EF23D7" w:rsidRPr="0024732C" w:rsidTr="0024732C">
        <w:trPr>
          <w:trHeight w:val="264"/>
        </w:trPr>
        <w:tc>
          <w:tcPr>
            <w:tcW w:w="4680" w:type="dxa"/>
            <w:shd w:val="clear" w:color="auto" w:fill="auto"/>
            <w:noWrap/>
            <w:vAlign w:val="center"/>
            <w:hideMark/>
          </w:tcPr>
          <w:p w:rsidR="00EF23D7" w:rsidRPr="0024732C" w:rsidRDefault="00EF23D7" w:rsidP="00124F98">
            <w:pPr>
              <w:rPr>
                <w:color w:val="000000"/>
                <w:sz w:val="22"/>
                <w:lang w:val="en-PH"/>
              </w:rPr>
            </w:pPr>
            <w:r w:rsidRPr="0024732C">
              <w:rPr>
                <w:color w:val="000000"/>
                <w:sz w:val="22"/>
                <w:lang w:val="en-PH"/>
              </w:rPr>
              <w:t>Rent/ Lease Income</w:t>
            </w:r>
          </w:p>
        </w:tc>
        <w:tc>
          <w:tcPr>
            <w:tcW w:w="189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878,431.92</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813,348.00</w:t>
            </w:r>
          </w:p>
        </w:tc>
      </w:tr>
      <w:tr w:rsidR="00EF23D7" w:rsidRPr="0024732C" w:rsidTr="0024732C">
        <w:trPr>
          <w:trHeight w:val="264"/>
        </w:trPr>
        <w:tc>
          <w:tcPr>
            <w:tcW w:w="4680" w:type="dxa"/>
            <w:shd w:val="clear" w:color="auto" w:fill="auto"/>
            <w:noWrap/>
            <w:vAlign w:val="center"/>
            <w:hideMark/>
          </w:tcPr>
          <w:p w:rsidR="00EF23D7" w:rsidRPr="0024732C" w:rsidRDefault="00EF23D7" w:rsidP="00124F98">
            <w:pPr>
              <w:rPr>
                <w:color w:val="000000"/>
                <w:sz w:val="22"/>
                <w:lang w:val="en-PH"/>
              </w:rPr>
            </w:pPr>
            <w:r w:rsidRPr="0024732C">
              <w:rPr>
                <w:color w:val="000000"/>
                <w:sz w:val="22"/>
                <w:lang w:val="en-PH"/>
              </w:rPr>
              <w:t>Interest Income</w:t>
            </w:r>
          </w:p>
        </w:tc>
        <w:tc>
          <w:tcPr>
            <w:tcW w:w="189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121,427.28</w:t>
            </w:r>
          </w:p>
        </w:tc>
      </w:tr>
      <w:tr w:rsidR="00EF23D7" w:rsidRPr="0024732C" w:rsidTr="0024732C">
        <w:trPr>
          <w:trHeight w:val="264"/>
        </w:trPr>
        <w:tc>
          <w:tcPr>
            <w:tcW w:w="4680" w:type="dxa"/>
            <w:shd w:val="clear" w:color="auto" w:fill="auto"/>
            <w:noWrap/>
            <w:vAlign w:val="center"/>
            <w:hideMark/>
          </w:tcPr>
          <w:p w:rsidR="00EF23D7" w:rsidRPr="0024732C" w:rsidRDefault="00EF23D7" w:rsidP="00124F98">
            <w:pPr>
              <w:rPr>
                <w:color w:val="000000"/>
                <w:sz w:val="22"/>
                <w:lang w:val="en-PH"/>
              </w:rPr>
            </w:pPr>
            <w:r w:rsidRPr="0024732C">
              <w:rPr>
                <w:color w:val="000000"/>
                <w:sz w:val="22"/>
                <w:lang w:val="en-PH"/>
              </w:rPr>
              <w:t>Fines and Penalties - Business Income</w:t>
            </w:r>
          </w:p>
        </w:tc>
        <w:tc>
          <w:tcPr>
            <w:tcW w:w="189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1,423,432.85</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637,733.50</w:t>
            </w:r>
          </w:p>
        </w:tc>
      </w:tr>
      <w:tr w:rsidR="00EF23D7" w:rsidRPr="0024732C" w:rsidTr="0024732C">
        <w:trPr>
          <w:trHeight w:val="264"/>
        </w:trPr>
        <w:tc>
          <w:tcPr>
            <w:tcW w:w="4680" w:type="dxa"/>
            <w:shd w:val="clear" w:color="auto" w:fill="auto"/>
            <w:noWrap/>
            <w:vAlign w:val="center"/>
            <w:hideMark/>
          </w:tcPr>
          <w:p w:rsidR="00EF23D7" w:rsidRPr="0024732C" w:rsidRDefault="00EF23D7" w:rsidP="00124F98">
            <w:pPr>
              <w:rPr>
                <w:color w:val="000000"/>
                <w:sz w:val="22"/>
                <w:lang w:val="en-PH"/>
              </w:rPr>
            </w:pPr>
            <w:r w:rsidRPr="0024732C">
              <w:rPr>
                <w:color w:val="000000"/>
                <w:sz w:val="22"/>
                <w:lang w:val="en-PH"/>
              </w:rPr>
              <w:t>Other Business Income</w:t>
            </w:r>
          </w:p>
        </w:tc>
        <w:tc>
          <w:tcPr>
            <w:tcW w:w="189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350,232.77</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color w:val="000000"/>
                <w:sz w:val="22"/>
                <w:lang w:val="en-PH"/>
              </w:rPr>
              <w:t> 1,460,049.41</w:t>
            </w:r>
          </w:p>
        </w:tc>
      </w:tr>
      <w:tr w:rsidR="00EF23D7" w:rsidRPr="0024732C" w:rsidTr="0024732C">
        <w:trPr>
          <w:trHeight w:val="264"/>
        </w:trPr>
        <w:tc>
          <w:tcPr>
            <w:tcW w:w="4680" w:type="dxa"/>
            <w:shd w:val="clear" w:color="auto" w:fill="auto"/>
            <w:noWrap/>
            <w:vAlign w:val="center"/>
          </w:tcPr>
          <w:p w:rsidR="00EF23D7" w:rsidRPr="0024732C" w:rsidRDefault="00EF23D7" w:rsidP="00124F98">
            <w:pPr>
              <w:rPr>
                <w:bCs/>
                <w:color w:val="000000"/>
                <w:sz w:val="22"/>
                <w:lang w:val="en-PH"/>
              </w:rPr>
            </w:pPr>
            <w:r w:rsidRPr="0024732C">
              <w:rPr>
                <w:bCs/>
                <w:color w:val="000000"/>
                <w:sz w:val="22"/>
                <w:lang w:val="en-PH"/>
              </w:rPr>
              <w:t>Other Income</w:t>
            </w:r>
          </w:p>
        </w:tc>
        <w:tc>
          <w:tcPr>
            <w:tcW w:w="1890" w:type="dxa"/>
            <w:shd w:val="clear" w:color="auto" w:fill="auto"/>
            <w:noWrap/>
            <w:vAlign w:val="center"/>
          </w:tcPr>
          <w:p w:rsidR="00EF23D7" w:rsidRPr="0024732C" w:rsidRDefault="00EF23D7" w:rsidP="00124F98">
            <w:pPr>
              <w:jc w:val="right"/>
              <w:rPr>
                <w:sz w:val="22"/>
                <w:lang w:val="en-PH"/>
              </w:rPr>
            </w:pPr>
            <w:r w:rsidRPr="0024732C">
              <w:rPr>
                <w:sz w:val="22"/>
                <w:lang w:val="en-PH"/>
              </w:rPr>
              <w:t>1,980,338.04</w:t>
            </w:r>
          </w:p>
        </w:tc>
        <w:tc>
          <w:tcPr>
            <w:tcW w:w="1710" w:type="dxa"/>
            <w:shd w:val="clear" w:color="auto" w:fill="auto"/>
            <w:noWrap/>
            <w:vAlign w:val="center"/>
          </w:tcPr>
          <w:p w:rsidR="00EF23D7" w:rsidRPr="0024732C" w:rsidRDefault="00EF23D7" w:rsidP="00124F98">
            <w:pPr>
              <w:jc w:val="right"/>
              <w:rPr>
                <w:sz w:val="22"/>
              </w:rPr>
            </w:pPr>
            <w:r w:rsidRPr="0024732C">
              <w:rPr>
                <w:sz w:val="22"/>
              </w:rPr>
              <w:t>-</w:t>
            </w:r>
          </w:p>
        </w:tc>
      </w:tr>
      <w:tr w:rsidR="00EF23D7" w:rsidRPr="0024732C" w:rsidTr="0024732C">
        <w:trPr>
          <w:trHeight w:val="264"/>
        </w:trPr>
        <w:tc>
          <w:tcPr>
            <w:tcW w:w="4680" w:type="dxa"/>
            <w:shd w:val="clear" w:color="auto" w:fill="auto"/>
            <w:noWrap/>
            <w:vAlign w:val="center"/>
            <w:hideMark/>
          </w:tcPr>
          <w:p w:rsidR="00EF23D7" w:rsidRPr="0024732C" w:rsidRDefault="00EF23D7" w:rsidP="00955286">
            <w:pPr>
              <w:rPr>
                <w:b/>
                <w:bCs/>
                <w:color w:val="000000"/>
                <w:sz w:val="22"/>
                <w:lang w:val="en-PH"/>
              </w:rPr>
            </w:pPr>
            <w:r w:rsidRPr="0024732C">
              <w:rPr>
                <w:b/>
                <w:bCs/>
                <w:color w:val="000000"/>
                <w:sz w:val="22"/>
                <w:lang w:val="en-PH"/>
              </w:rPr>
              <w:t xml:space="preserve">Total </w:t>
            </w:r>
          </w:p>
        </w:tc>
        <w:tc>
          <w:tcPr>
            <w:tcW w:w="1890" w:type="dxa"/>
            <w:shd w:val="clear" w:color="auto" w:fill="auto"/>
            <w:noWrap/>
            <w:vAlign w:val="center"/>
            <w:hideMark/>
          </w:tcPr>
          <w:p w:rsidR="00EF23D7" w:rsidRPr="0024732C" w:rsidRDefault="00EF23D7" w:rsidP="00124F98">
            <w:pPr>
              <w:jc w:val="right"/>
              <w:rPr>
                <w:b/>
                <w:sz w:val="22"/>
                <w:lang w:val="en-PH"/>
              </w:rPr>
            </w:pPr>
            <w:r w:rsidRPr="0024732C">
              <w:rPr>
                <w:b/>
                <w:sz w:val="22"/>
                <w:lang w:val="en-PH"/>
              </w:rPr>
              <w:t>155,957,700.33</w:t>
            </w:r>
          </w:p>
        </w:tc>
        <w:tc>
          <w:tcPr>
            <w:tcW w:w="1710" w:type="dxa"/>
            <w:shd w:val="clear" w:color="auto" w:fill="auto"/>
            <w:noWrap/>
            <w:vAlign w:val="center"/>
            <w:hideMark/>
          </w:tcPr>
          <w:p w:rsidR="00EF23D7" w:rsidRPr="0024732C" w:rsidRDefault="00EF23D7" w:rsidP="00124F98">
            <w:pPr>
              <w:jc w:val="right"/>
              <w:rPr>
                <w:color w:val="000000"/>
                <w:sz w:val="22"/>
                <w:lang w:val="en-PH"/>
              </w:rPr>
            </w:pPr>
            <w:r w:rsidRPr="0024732C">
              <w:rPr>
                <w:b/>
                <w:color w:val="000000"/>
                <w:sz w:val="22"/>
                <w:lang w:val="en-PH"/>
              </w:rPr>
              <w:t>188,135,838.91</w:t>
            </w:r>
          </w:p>
        </w:tc>
      </w:tr>
    </w:tbl>
    <w:p w:rsidR="006F7F88" w:rsidRDefault="006F7F88" w:rsidP="00124F98">
      <w:pPr>
        <w:rPr>
          <w:b/>
          <w:sz w:val="24"/>
          <w:szCs w:val="24"/>
        </w:rPr>
      </w:pPr>
    </w:p>
    <w:p w:rsidR="00AA3E85" w:rsidRDefault="00683C74" w:rsidP="00A010EE">
      <w:pPr>
        <w:pStyle w:val="BodyTextIndent"/>
        <w:numPr>
          <w:ilvl w:val="0"/>
          <w:numId w:val="18"/>
        </w:numPr>
        <w:ind w:left="426" w:hanging="426"/>
        <w:rPr>
          <w:b/>
          <w:szCs w:val="24"/>
        </w:rPr>
      </w:pPr>
      <w:r w:rsidRPr="00683C74">
        <w:rPr>
          <w:b/>
          <w:szCs w:val="24"/>
        </w:rPr>
        <w:t xml:space="preserve">Receipt of Notice of Cash Allocation </w:t>
      </w:r>
      <w:r w:rsidR="00B43D93" w:rsidRPr="00683C74">
        <w:rPr>
          <w:b/>
          <w:szCs w:val="24"/>
        </w:rPr>
        <w:t>(NCA</w:t>
      </w:r>
      <w:r w:rsidRPr="00683C74">
        <w:rPr>
          <w:b/>
          <w:szCs w:val="24"/>
        </w:rPr>
        <w:t>)</w:t>
      </w:r>
    </w:p>
    <w:p w:rsidR="00AA3E85" w:rsidRDefault="00AA3E85" w:rsidP="00124F98">
      <w:pPr>
        <w:rPr>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50"/>
        <w:gridCol w:w="2070"/>
        <w:gridCol w:w="2250"/>
        <w:gridCol w:w="1710"/>
      </w:tblGrid>
      <w:tr w:rsidR="00683C74" w:rsidRPr="0024732C" w:rsidTr="00955286">
        <w:trPr>
          <w:trHeight w:val="259"/>
          <w:tblHeader/>
        </w:trPr>
        <w:tc>
          <w:tcPr>
            <w:tcW w:w="2250" w:type="dxa"/>
            <w:shd w:val="clear" w:color="auto" w:fill="auto"/>
            <w:vAlign w:val="center"/>
          </w:tcPr>
          <w:p w:rsidR="00683C74" w:rsidRPr="0024732C" w:rsidRDefault="00683C74" w:rsidP="0024732C">
            <w:pPr>
              <w:tabs>
                <w:tab w:val="left" w:pos="360"/>
              </w:tabs>
              <w:jc w:val="center"/>
              <w:rPr>
                <w:bCs/>
                <w:color w:val="000000"/>
                <w:sz w:val="22"/>
                <w:szCs w:val="22"/>
              </w:rPr>
            </w:pPr>
            <w:r w:rsidRPr="0024732C">
              <w:rPr>
                <w:b/>
                <w:bCs/>
                <w:color w:val="000000"/>
                <w:sz w:val="22"/>
                <w:szCs w:val="22"/>
              </w:rPr>
              <w:t>Month</w:t>
            </w:r>
          </w:p>
        </w:tc>
        <w:tc>
          <w:tcPr>
            <w:tcW w:w="2070" w:type="dxa"/>
            <w:shd w:val="clear" w:color="auto" w:fill="auto"/>
            <w:vAlign w:val="center"/>
          </w:tcPr>
          <w:p w:rsidR="00683C74" w:rsidRPr="0024732C" w:rsidRDefault="00683C74" w:rsidP="0024732C">
            <w:pPr>
              <w:tabs>
                <w:tab w:val="left" w:pos="360"/>
              </w:tabs>
              <w:jc w:val="center"/>
              <w:rPr>
                <w:b/>
                <w:bCs/>
                <w:color w:val="000000"/>
                <w:sz w:val="22"/>
                <w:szCs w:val="22"/>
              </w:rPr>
            </w:pPr>
            <w:r w:rsidRPr="0024732C">
              <w:rPr>
                <w:b/>
                <w:bCs/>
                <w:color w:val="000000"/>
                <w:sz w:val="22"/>
                <w:szCs w:val="22"/>
              </w:rPr>
              <w:t>Amount Released</w:t>
            </w:r>
          </w:p>
        </w:tc>
        <w:tc>
          <w:tcPr>
            <w:tcW w:w="2250" w:type="dxa"/>
            <w:shd w:val="clear" w:color="auto" w:fill="auto"/>
            <w:vAlign w:val="center"/>
          </w:tcPr>
          <w:p w:rsidR="00683C74" w:rsidRPr="0024732C" w:rsidRDefault="00683C74" w:rsidP="0024732C">
            <w:pPr>
              <w:tabs>
                <w:tab w:val="left" w:pos="360"/>
              </w:tabs>
              <w:jc w:val="center"/>
              <w:rPr>
                <w:bCs/>
                <w:color w:val="000000"/>
                <w:sz w:val="22"/>
                <w:szCs w:val="22"/>
              </w:rPr>
            </w:pPr>
            <w:r w:rsidRPr="0024732C">
              <w:rPr>
                <w:b/>
                <w:bCs/>
                <w:color w:val="000000"/>
                <w:sz w:val="22"/>
                <w:szCs w:val="22"/>
              </w:rPr>
              <w:t>Remittance (TRA)</w:t>
            </w:r>
          </w:p>
        </w:tc>
        <w:tc>
          <w:tcPr>
            <w:tcW w:w="1710" w:type="dxa"/>
            <w:shd w:val="clear" w:color="auto" w:fill="auto"/>
            <w:vAlign w:val="center"/>
          </w:tcPr>
          <w:p w:rsidR="00683C74" w:rsidRPr="0024732C" w:rsidRDefault="00D64872" w:rsidP="0024732C">
            <w:pPr>
              <w:tabs>
                <w:tab w:val="left" w:pos="360"/>
              </w:tabs>
              <w:jc w:val="center"/>
              <w:rPr>
                <w:bCs/>
                <w:color w:val="000000"/>
                <w:sz w:val="22"/>
                <w:szCs w:val="22"/>
              </w:rPr>
            </w:pPr>
            <w:r w:rsidRPr="0024732C">
              <w:rPr>
                <w:b/>
                <w:bCs/>
                <w:color w:val="000000"/>
                <w:sz w:val="22"/>
                <w:szCs w:val="22"/>
              </w:rPr>
              <w:t>NCA</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January</w:t>
            </w:r>
          </w:p>
        </w:tc>
        <w:tc>
          <w:tcPr>
            <w:tcW w:w="2070" w:type="dxa"/>
            <w:shd w:val="clear" w:color="auto" w:fill="auto"/>
            <w:vAlign w:val="center"/>
          </w:tcPr>
          <w:p w:rsidR="00683C74" w:rsidRPr="0024732C" w:rsidRDefault="0068270B" w:rsidP="006752CD">
            <w:pPr>
              <w:jc w:val="right"/>
              <w:rPr>
                <w:bCs/>
                <w:color w:val="000000"/>
                <w:sz w:val="22"/>
                <w:szCs w:val="22"/>
              </w:rPr>
            </w:pPr>
            <w:r w:rsidRPr="0024732C">
              <w:rPr>
                <w:bCs/>
                <w:color w:val="000000"/>
                <w:sz w:val="22"/>
                <w:szCs w:val="22"/>
              </w:rPr>
              <w:t>6,288,937.83</w:t>
            </w:r>
          </w:p>
        </w:tc>
        <w:tc>
          <w:tcPr>
            <w:tcW w:w="2250" w:type="dxa"/>
            <w:shd w:val="clear" w:color="auto" w:fill="auto"/>
            <w:vAlign w:val="center"/>
          </w:tcPr>
          <w:p w:rsidR="00683C74" w:rsidRPr="0024732C" w:rsidRDefault="0068270B" w:rsidP="006752CD">
            <w:pPr>
              <w:jc w:val="right"/>
              <w:rPr>
                <w:bCs/>
                <w:color w:val="000000"/>
                <w:sz w:val="22"/>
                <w:szCs w:val="22"/>
              </w:rPr>
            </w:pPr>
            <w:r w:rsidRPr="0024732C">
              <w:rPr>
                <w:bCs/>
                <w:color w:val="000000"/>
                <w:sz w:val="22"/>
                <w:szCs w:val="22"/>
              </w:rPr>
              <w:t>486,598.83</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5,802,339.00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February</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6,292,951.14</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490,612.14</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5,802,339.00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March</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6,996,916.23</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486,577.23</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6,510,339.00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April</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7,345,910.51</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622,571.51</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6,723,339.00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May</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11,113,948.29</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545,780.29</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10,568,</w:t>
            </w:r>
            <w:r w:rsidR="00747147" w:rsidRPr="0024732C">
              <w:rPr>
                <w:color w:val="000000"/>
                <w:sz w:val="22"/>
                <w:szCs w:val="22"/>
              </w:rPr>
              <w:t>168.00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June</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7,331,267.85</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996,327.85</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6,334,940.00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July</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7,794,765.60</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631,361.60</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7,163,404.00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August</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7,032,754.08</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749,820.08</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6,282,934.00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September</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7,021,613.88</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809,209.88</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6,212,404.00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October</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8,885,732.45</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510,328.45</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8,375,404.00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November</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12,507,579.09</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508,530.09</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11,999,049.00</w:t>
            </w:r>
          </w:p>
        </w:tc>
      </w:tr>
      <w:tr w:rsidR="00683C74" w:rsidRPr="0024732C" w:rsidTr="00955286">
        <w:trPr>
          <w:trHeight w:val="259"/>
        </w:trPr>
        <w:tc>
          <w:tcPr>
            <w:tcW w:w="2250" w:type="dxa"/>
            <w:shd w:val="clear" w:color="auto" w:fill="auto"/>
          </w:tcPr>
          <w:p w:rsidR="00683C74" w:rsidRPr="0024732C" w:rsidRDefault="00683C74" w:rsidP="00124F98">
            <w:pPr>
              <w:tabs>
                <w:tab w:val="left" w:pos="360"/>
              </w:tabs>
              <w:rPr>
                <w:bCs/>
                <w:color w:val="000000"/>
                <w:sz w:val="22"/>
                <w:szCs w:val="22"/>
              </w:rPr>
            </w:pPr>
            <w:r w:rsidRPr="0024732C">
              <w:rPr>
                <w:bCs/>
                <w:color w:val="000000"/>
                <w:sz w:val="22"/>
                <w:szCs w:val="22"/>
              </w:rPr>
              <w:t>December</w:t>
            </w:r>
          </w:p>
        </w:tc>
        <w:tc>
          <w:tcPr>
            <w:tcW w:w="207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7,282,062.11</w:t>
            </w:r>
          </w:p>
        </w:tc>
        <w:tc>
          <w:tcPr>
            <w:tcW w:w="2250" w:type="dxa"/>
            <w:shd w:val="clear" w:color="auto" w:fill="auto"/>
            <w:vAlign w:val="center"/>
          </w:tcPr>
          <w:p w:rsidR="00683C74" w:rsidRPr="0024732C" w:rsidRDefault="0068270B" w:rsidP="00124F98">
            <w:pPr>
              <w:tabs>
                <w:tab w:val="left" w:pos="360"/>
              </w:tabs>
              <w:jc w:val="right"/>
              <w:rPr>
                <w:bCs/>
                <w:color w:val="000000"/>
                <w:sz w:val="22"/>
                <w:szCs w:val="22"/>
              </w:rPr>
            </w:pPr>
            <w:r w:rsidRPr="0024732C">
              <w:rPr>
                <w:bCs/>
                <w:color w:val="000000"/>
                <w:sz w:val="22"/>
                <w:szCs w:val="22"/>
              </w:rPr>
              <w:t>317,600.11</w:t>
            </w:r>
          </w:p>
        </w:tc>
        <w:tc>
          <w:tcPr>
            <w:tcW w:w="1710" w:type="dxa"/>
            <w:shd w:val="clear" w:color="auto" w:fill="auto"/>
            <w:vAlign w:val="center"/>
          </w:tcPr>
          <w:p w:rsidR="00683C74" w:rsidRPr="0024732C" w:rsidRDefault="003E2401" w:rsidP="00124F98">
            <w:pPr>
              <w:jc w:val="right"/>
              <w:rPr>
                <w:color w:val="000000"/>
                <w:sz w:val="22"/>
                <w:szCs w:val="22"/>
              </w:rPr>
            </w:pPr>
            <w:r w:rsidRPr="0024732C">
              <w:rPr>
                <w:color w:val="000000"/>
                <w:sz w:val="22"/>
                <w:szCs w:val="22"/>
              </w:rPr>
              <w:t>6,964,462.00</w:t>
            </w:r>
          </w:p>
        </w:tc>
      </w:tr>
      <w:tr w:rsidR="00683C74" w:rsidRPr="0024732C" w:rsidTr="00991002">
        <w:trPr>
          <w:trHeight w:val="70"/>
        </w:trPr>
        <w:tc>
          <w:tcPr>
            <w:tcW w:w="2250" w:type="dxa"/>
            <w:shd w:val="clear" w:color="auto" w:fill="auto"/>
          </w:tcPr>
          <w:p w:rsidR="00683C74" w:rsidRPr="0024732C" w:rsidRDefault="00955286" w:rsidP="00124F98">
            <w:pPr>
              <w:tabs>
                <w:tab w:val="left" w:pos="360"/>
              </w:tabs>
              <w:rPr>
                <w:b/>
                <w:bCs/>
                <w:color w:val="000000"/>
                <w:sz w:val="22"/>
                <w:szCs w:val="22"/>
              </w:rPr>
            </w:pPr>
            <w:r>
              <w:rPr>
                <w:b/>
                <w:bCs/>
                <w:color w:val="000000"/>
                <w:sz w:val="22"/>
                <w:szCs w:val="22"/>
              </w:rPr>
              <w:t>Total</w:t>
            </w:r>
          </w:p>
        </w:tc>
        <w:tc>
          <w:tcPr>
            <w:tcW w:w="2070" w:type="dxa"/>
            <w:shd w:val="clear" w:color="auto" w:fill="auto"/>
            <w:vAlign w:val="center"/>
          </w:tcPr>
          <w:p w:rsidR="00683C74" w:rsidRPr="0024732C" w:rsidRDefault="00C711C6" w:rsidP="006752CD">
            <w:pPr>
              <w:tabs>
                <w:tab w:val="left" w:pos="360"/>
              </w:tabs>
              <w:jc w:val="right"/>
              <w:rPr>
                <w:b/>
                <w:bCs/>
                <w:color w:val="000000"/>
                <w:sz w:val="22"/>
                <w:szCs w:val="22"/>
              </w:rPr>
            </w:pPr>
            <w:r w:rsidRPr="0024732C">
              <w:rPr>
                <w:b/>
                <w:bCs/>
                <w:color w:val="000000"/>
                <w:sz w:val="22"/>
                <w:szCs w:val="22"/>
              </w:rPr>
              <w:t>95,894,439.06</w:t>
            </w:r>
          </w:p>
        </w:tc>
        <w:tc>
          <w:tcPr>
            <w:tcW w:w="2250" w:type="dxa"/>
            <w:shd w:val="clear" w:color="auto" w:fill="auto"/>
            <w:vAlign w:val="center"/>
          </w:tcPr>
          <w:p w:rsidR="00683C74" w:rsidRPr="0024732C" w:rsidRDefault="00C711C6" w:rsidP="006752CD">
            <w:pPr>
              <w:tabs>
                <w:tab w:val="left" w:pos="360"/>
              </w:tabs>
              <w:jc w:val="right"/>
              <w:rPr>
                <w:b/>
                <w:bCs/>
                <w:color w:val="000000"/>
                <w:sz w:val="22"/>
                <w:szCs w:val="22"/>
              </w:rPr>
            </w:pPr>
            <w:r w:rsidRPr="0024732C">
              <w:rPr>
                <w:b/>
                <w:bCs/>
                <w:color w:val="000000"/>
                <w:sz w:val="22"/>
                <w:szCs w:val="22"/>
              </w:rPr>
              <w:t>7,155,318.06</w:t>
            </w:r>
          </w:p>
        </w:tc>
        <w:tc>
          <w:tcPr>
            <w:tcW w:w="1710" w:type="dxa"/>
            <w:shd w:val="clear" w:color="auto" w:fill="auto"/>
          </w:tcPr>
          <w:p w:rsidR="00683C74" w:rsidRPr="0024732C" w:rsidRDefault="003E2401" w:rsidP="006752CD">
            <w:pPr>
              <w:tabs>
                <w:tab w:val="left" w:pos="360"/>
              </w:tabs>
              <w:jc w:val="right"/>
              <w:rPr>
                <w:b/>
                <w:bCs/>
                <w:color w:val="000000"/>
                <w:sz w:val="22"/>
                <w:szCs w:val="22"/>
              </w:rPr>
            </w:pPr>
            <w:r w:rsidRPr="0024732C">
              <w:rPr>
                <w:b/>
                <w:bCs/>
                <w:color w:val="000000"/>
                <w:sz w:val="22"/>
                <w:szCs w:val="22"/>
              </w:rPr>
              <w:t>88,739,121.00</w:t>
            </w:r>
          </w:p>
        </w:tc>
      </w:tr>
    </w:tbl>
    <w:p w:rsidR="00536FFE" w:rsidRDefault="00536FFE" w:rsidP="00124F98">
      <w:pPr>
        <w:rPr>
          <w:b/>
          <w:sz w:val="24"/>
          <w:szCs w:val="24"/>
        </w:rPr>
      </w:pPr>
    </w:p>
    <w:p w:rsidR="005B1AA7" w:rsidRDefault="00625F29" w:rsidP="00A010EE">
      <w:pPr>
        <w:pStyle w:val="BodyTextIndent"/>
        <w:numPr>
          <w:ilvl w:val="0"/>
          <w:numId w:val="18"/>
        </w:numPr>
        <w:ind w:left="426" w:hanging="426"/>
        <w:rPr>
          <w:b/>
          <w:szCs w:val="24"/>
        </w:rPr>
      </w:pPr>
      <w:r>
        <w:rPr>
          <w:b/>
          <w:szCs w:val="24"/>
        </w:rPr>
        <w:t>Collection of Receivables</w:t>
      </w:r>
    </w:p>
    <w:p w:rsidR="00D87B8C" w:rsidRDefault="00D87B8C" w:rsidP="00124F98">
      <w:pPr>
        <w:rPr>
          <w:b/>
          <w:sz w:val="24"/>
          <w:szCs w:val="24"/>
        </w:rPr>
      </w:pPr>
    </w:p>
    <w:p w:rsidR="00D87B8C" w:rsidRDefault="00D87B8C" w:rsidP="00A010EE">
      <w:pPr>
        <w:spacing w:line="24" w:lineRule="atLeast"/>
        <w:ind w:left="426"/>
        <w:jc w:val="both"/>
        <w:rPr>
          <w:sz w:val="24"/>
          <w:szCs w:val="24"/>
        </w:rPr>
      </w:pPr>
      <w:r w:rsidRPr="00D87B8C">
        <w:rPr>
          <w:sz w:val="24"/>
          <w:szCs w:val="24"/>
        </w:rPr>
        <w:t xml:space="preserve">This account consists of collection of Accounts Receivables by the College for </w:t>
      </w:r>
      <w:r w:rsidR="005B7ADE">
        <w:rPr>
          <w:sz w:val="24"/>
          <w:szCs w:val="24"/>
        </w:rPr>
        <w:t>C</w:t>
      </w:r>
      <w:r w:rsidRPr="00D87B8C">
        <w:rPr>
          <w:sz w:val="24"/>
          <w:szCs w:val="24"/>
        </w:rPr>
        <w:t xml:space="preserve">Y 2015 amounting to </w:t>
      </w:r>
      <w:r w:rsidR="00366402" w:rsidRPr="002E7B64">
        <w:rPr>
          <w:sz w:val="24"/>
          <w:szCs w:val="24"/>
        </w:rPr>
        <w:t>₱</w:t>
      </w:r>
      <w:r w:rsidRPr="002E7B64">
        <w:rPr>
          <w:sz w:val="24"/>
          <w:szCs w:val="24"/>
        </w:rPr>
        <w:t>3,914,203.14.</w:t>
      </w:r>
    </w:p>
    <w:p w:rsidR="00A010EE" w:rsidRDefault="00A010EE">
      <w:pPr>
        <w:rPr>
          <w:sz w:val="24"/>
          <w:szCs w:val="24"/>
        </w:rPr>
      </w:pPr>
      <w:r>
        <w:rPr>
          <w:sz w:val="24"/>
          <w:szCs w:val="24"/>
        </w:rPr>
        <w:br w:type="page"/>
      </w:r>
    </w:p>
    <w:p w:rsidR="00B44546" w:rsidRDefault="00B44546" w:rsidP="00A010EE">
      <w:pPr>
        <w:pStyle w:val="BodyTextIndent"/>
        <w:numPr>
          <w:ilvl w:val="0"/>
          <w:numId w:val="18"/>
        </w:numPr>
        <w:ind w:left="426" w:hanging="426"/>
        <w:rPr>
          <w:b/>
          <w:szCs w:val="24"/>
        </w:rPr>
      </w:pPr>
      <w:r>
        <w:rPr>
          <w:b/>
          <w:szCs w:val="24"/>
        </w:rPr>
        <w:lastRenderedPageBreak/>
        <w:t>Other Receipts</w:t>
      </w:r>
    </w:p>
    <w:p w:rsidR="00B44546" w:rsidRDefault="00B44546" w:rsidP="00124F98">
      <w:pPr>
        <w:rPr>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EF23D7" w:rsidRPr="00780E04" w:rsidTr="00780E04">
        <w:trPr>
          <w:trHeight w:val="259"/>
        </w:trPr>
        <w:tc>
          <w:tcPr>
            <w:tcW w:w="4680" w:type="dxa"/>
            <w:shd w:val="clear" w:color="auto" w:fill="auto"/>
            <w:noWrap/>
            <w:vAlign w:val="center"/>
            <w:hideMark/>
          </w:tcPr>
          <w:p w:rsidR="00EF23D7" w:rsidRPr="00780E04" w:rsidRDefault="00EF23D7" w:rsidP="00124F98">
            <w:pPr>
              <w:ind w:left="-106"/>
              <w:jc w:val="center"/>
              <w:rPr>
                <w:b/>
                <w:bCs/>
                <w:color w:val="000000"/>
                <w:sz w:val="22"/>
                <w:lang w:val="en-PH"/>
              </w:rPr>
            </w:pPr>
            <w:r w:rsidRPr="00780E04">
              <w:rPr>
                <w:b/>
                <w:bCs/>
                <w:color w:val="000000"/>
                <w:sz w:val="22"/>
                <w:lang w:val="en-PH"/>
              </w:rPr>
              <w:t>Particulars</w:t>
            </w:r>
          </w:p>
        </w:tc>
        <w:tc>
          <w:tcPr>
            <w:tcW w:w="1890" w:type="dxa"/>
            <w:shd w:val="clear" w:color="auto" w:fill="auto"/>
            <w:noWrap/>
            <w:vAlign w:val="bottom"/>
            <w:hideMark/>
          </w:tcPr>
          <w:p w:rsidR="00EF23D7" w:rsidRPr="00780E04" w:rsidRDefault="00EF23D7" w:rsidP="00124F98">
            <w:pPr>
              <w:jc w:val="center"/>
              <w:rPr>
                <w:b/>
                <w:bCs/>
                <w:color w:val="000000"/>
                <w:sz w:val="22"/>
                <w:lang w:val="en-PH"/>
              </w:rPr>
            </w:pPr>
            <w:r w:rsidRPr="00780E04">
              <w:rPr>
                <w:b/>
                <w:bCs/>
                <w:color w:val="000000"/>
                <w:sz w:val="22"/>
                <w:lang w:val="en-PH"/>
              </w:rPr>
              <w:t>2016</w:t>
            </w:r>
          </w:p>
        </w:tc>
        <w:tc>
          <w:tcPr>
            <w:tcW w:w="1710" w:type="dxa"/>
            <w:shd w:val="clear" w:color="auto" w:fill="auto"/>
            <w:noWrap/>
            <w:vAlign w:val="bottom"/>
            <w:hideMark/>
          </w:tcPr>
          <w:p w:rsidR="00EF23D7" w:rsidRPr="00780E04" w:rsidRDefault="00EF23D7" w:rsidP="00124F98">
            <w:pPr>
              <w:jc w:val="center"/>
              <w:rPr>
                <w:b/>
                <w:bCs/>
                <w:color w:val="000000"/>
                <w:sz w:val="22"/>
                <w:lang w:val="en-PH"/>
              </w:rPr>
            </w:pPr>
            <w:r w:rsidRPr="00780E04">
              <w:rPr>
                <w:b/>
                <w:bCs/>
                <w:color w:val="000000"/>
                <w:sz w:val="22"/>
                <w:lang w:val="en-PH"/>
              </w:rPr>
              <w:t>2015</w:t>
            </w:r>
          </w:p>
        </w:tc>
      </w:tr>
      <w:tr w:rsidR="00EF23D7" w:rsidRPr="00780E04" w:rsidTr="00780E04">
        <w:trPr>
          <w:trHeight w:val="259"/>
        </w:trPr>
        <w:tc>
          <w:tcPr>
            <w:tcW w:w="4680" w:type="dxa"/>
            <w:shd w:val="clear" w:color="auto" w:fill="auto"/>
            <w:noWrap/>
            <w:vAlign w:val="center"/>
            <w:hideMark/>
          </w:tcPr>
          <w:p w:rsidR="00EF23D7" w:rsidRPr="00780E04" w:rsidRDefault="00EF23D7" w:rsidP="00124F98">
            <w:pPr>
              <w:rPr>
                <w:color w:val="000000"/>
                <w:sz w:val="22"/>
                <w:lang w:val="en-PH"/>
              </w:rPr>
            </w:pPr>
            <w:r w:rsidRPr="00780E04">
              <w:rPr>
                <w:color w:val="000000"/>
                <w:sz w:val="22"/>
                <w:lang w:val="en-PH"/>
              </w:rPr>
              <w:t>Refund of overpayment of Personnel Services</w:t>
            </w:r>
          </w:p>
        </w:tc>
        <w:tc>
          <w:tcPr>
            <w:tcW w:w="189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w:t>
            </w:r>
          </w:p>
        </w:tc>
        <w:tc>
          <w:tcPr>
            <w:tcW w:w="171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3,118.56</w:t>
            </w:r>
          </w:p>
        </w:tc>
      </w:tr>
      <w:tr w:rsidR="00EF23D7" w:rsidRPr="00780E04" w:rsidTr="00780E04">
        <w:trPr>
          <w:trHeight w:val="259"/>
        </w:trPr>
        <w:tc>
          <w:tcPr>
            <w:tcW w:w="4680" w:type="dxa"/>
            <w:shd w:val="clear" w:color="auto" w:fill="auto"/>
            <w:noWrap/>
            <w:vAlign w:val="center"/>
            <w:hideMark/>
          </w:tcPr>
          <w:p w:rsidR="00EF23D7" w:rsidRPr="00780E04" w:rsidRDefault="00EF23D7" w:rsidP="00124F98">
            <w:pPr>
              <w:rPr>
                <w:color w:val="000000"/>
                <w:sz w:val="22"/>
                <w:lang w:val="en-PH"/>
              </w:rPr>
            </w:pPr>
            <w:r w:rsidRPr="00780E04">
              <w:rPr>
                <w:color w:val="000000"/>
                <w:sz w:val="22"/>
                <w:lang w:val="en-PH"/>
              </w:rPr>
              <w:t>Refund of overpayment of MOOE</w:t>
            </w:r>
          </w:p>
        </w:tc>
        <w:tc>
          <w:tcPr>
            <w:tcW w:w="189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w:t>
            </w:r>
          </w:p>
        </w:tc>
        <w:tc>
          <w:tcPr>
            <w:tcW w:w="171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 345,243.19</w:t>
            </w:r>
          </w:p>
        </w:tc>
      </w:tr>
      <w:tr w:rsidR="00EF23D7" w:rsidRPr="00780E04" w:rsidTr="00780E04">
        <w:trPr>
          <w:trHeight w:val="259"/>
        </w:trPr>
        <w:tc>
          <w:tcPr>
            <w:tcW w:w="4680" w:type="dxa"/>
            <w:shd w:val="clear" w:color="auto" w:fill="auto"/>
            <w:noWrap/>
            <w:vAlign w:val="center"/>
            <w:hideMark/>
          </w:tcPr>
          <w:p w:rsidR="00EF23D7" w:rsidRPr="00780E04" w:rsidRDefault="00EF23D7" w:rsidP="00124F98">
            <w:pPr>
              <w:rPr>
                <w:color w:val="000000"/>
                <w:sz w:val="22"/>
                <w:lang w:val="en-PH"/>
              </w:rPr>
            </w:pPr>
            <w:r w:rsidRPr="00780E04">
              <w:rPr>
                <w:color w:val="000000"/>
                <w:sz w:val="22"/>
                <w:lang w:val="en-PH"/>
              </w:rPr>
              <w:t>Refund of Cash Advances</w:t>
            </w:r>
          </w:p>
        </w:tc>
        <w:tc>
          <w:tcPr>
            <w:tcW w:w="189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788,719.49</w:t>
            </w:r>
          </w:p>
        </w:tc>
        <w:tc>
          <w:tcPr>
            <w:tcW w:w="171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 887,089.97</w:t>
            </w:r>
          </w:p>
        </w:tc>
      </w:tr>
      <w:tr w:rsidR="00EF23D7" w:rsidRPr="00780E04" w:rsidTr="00780E04">
        <w:trPr>
          <w:trHeight w:val="259"/>
        </w:trPr>
        <w:tc>
          <w:tcPr>
            <w:tcW w:w="4680" w:type="dxa"/>
            <w:shd w:val="clear" w:color="auto" w:fill="auto"/>
            <w:noWrap/>
            <w:vAlign w:val="center"/>
            <w:hideMark/>
          </w:tcPr>
          <w:p w:rsidR="00EF23D7" w:rsidRPr="00780E04" w:rsidRDefault="00EF23D7" w:rsidP="00124F98">
            <w:pPr>
              <w:rPr>
                <w:color w:val="000000"/>
                <w:sz w:val="22"/>
                <w:lang w:val="en-PH"/>
              </w:rPr>
            </w:pPr>
            <w:r w:rsidRPr="00780E04">
              <w:rPr>
                <w:color w:val="000000"/>
                <w:sz w:val="22"/>
                <w:lang w:val="en-PH"/>
              </w:rPr>
              <w:t>Other Miscellaneous Receipts</w:t>
            </w:r>
          </w:p>
        </w:tc>
        <w:tc>
          <w:tcPr>
            <w:tcW w:w="189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w:t>
            </w:r>
          </w:p>
        </w:tc>
        <w:tc>
          <w:tcPr>
            <w:tcW w:w="1710" w:type="dxa"/>
            <w:shd w:val="clear" w:color="auto" w:fill="auto"/>
            <w:noWrap/>
            <w:vAlign w:val="center"/>
            <w:hideMark/>
          </w:tcPr>
          <w:p w:rsidR="00EF23D7" w:rsidRPr="00780E04" w:rsidRDefault="00EF23D7" w:rsidP="00496306">
            <w:pPr>
              <w:jc w:val="right"/>
              <w:rPr>
                <w:color w:val="000000"/>
                <w:sz w:val="22"/>
                <w:lang w:val="en-PH"/>
              </w:rPr>
            </w:pPr>
            <w:r w:rsidRPr="00780E04">
              <w:rPr>
                <w:color w:val="000000"/>
                <w:sz w:val="22"/>
                <w:lang w:val="en-PH"/>
              </w:rPr>
              <w:t> 1,500.00</w:t>
            </w:r>
          </w:p>
        </w:tc>
      </w:tr>
      <w:tr w:rsidR="00EF23D7" w:rsidRPr="00780E04" w:rsidTr="00780E04">
        <w:trPr>
          <w:trHeight w:val="259"/>
        </w:trPr>
        <w:tc>
          <w:tcPr>
            <w:tcW w:w="4680" w:type="dxa"/>
            <w:shd w:val="clear" w:color="auto" w:fill="auto"/>
            <w:noWrap/>
            <w:vAlign w:val="center"/>
          </w:tcPr>
          <w:p w:rsidR="00EF23D7" w:rsidRPr="00780E04" w:rsidRDefault="00EF23D7" w:rsidP="00124F98">
            <w:pPr>
              <w:rPr>
                <w:color w:val="000000"/>
                <w:sz w:val="22"/>
                <w:lang w:val="en-PH"/>
              </w:rPr>
            </w:pPr>
            <w:r w:rsidRPr="00780E04">
              <w:rPr>
                <w:color w:val="000000"/>
                <w:sz w:val="22"/>
                <w:lang w:val="en-PH"/>
              </w:rPr>
              <w:t>Unused Petty Cash Fund</w:t>
            </w:r>
          </w:p>
        </w:tc>
        <w:tc>
          <w:tcPr>
            <w:tcW w:w="1890" w:type="dxa"/>
            <w:shd w:val="clear" w:color="auto" w:fill="auto"/>
            <w:noWrap/>
            <w:vAlign w:val="center"/>
          </w:tcPr>
          <w:p w:rsidR="00EF23D7" w:rsidRPr="00780E04" w:rsidRDefault="00EF23D7" w:rsidP="00496306">
            <w:pPr>
              <w:jc w:val="right"/>
              <w:rPr>
                <w:color w:val="000000"/>
                <w:sz w:val="22"/>
                <w:lang w:val="en-PH"/>
              </w:rPr>
            </w:pPr>
            <w:r w:rsidRPr="00780E04">
              <w:rPr>
                <w:color w:val="000000"/>
                <w:sz w:val="22"/>
                <w:lang w:val="en-PH"/>
              </w:rPr>
              <w:t>61,169.35</w:t>
            </w:r>
          </w:p>
        </w:tc>
        <w:tc>
          <w:tcPr>
            <w:tcW w:w="1710" w:type="dxa"/>
            <w:shd w:val="clear" w:color="auto" w:fill="auto"/>
            <w:noWrap/>
            <w:vAlign w:val="center"/>
          </w:tcPr>
          <w:p w:rsidR="00EF23D7" w:rsidRPr="00780E04" w:rsidRDefault="00EF23D7" w:rsidP="00496306">
            <w:pPr>
              <w:jc w:val="right"/>
              <w:rPr>
                <w:color w:val="000000"/>
                <w:sz w:val="22"/>
                <w:lang w:val="en-PH"/>
              </w:rPr>
            </w:pPr>
            <w:r w:rsidRPr="00780E04">
              <w:rPr>
                <w:color w:val="000000"/>
                <w:sz w:val="22"/>
                <w:lang w:val="en-PH"/>
              </w:rPr>
              <w:t>-</w:t>
            </w:r>
          </w:p>
        </w:tc>
      </w:tr>
      <w:tr w:rsidR="00EF23D7" w:rsidRPr="00780E04" w:rsidTr="00780E04">
        <w:trPr>
          <w:trHeight w:val="259"/>
        </w:trPr>
        <w:tc>
          <w:tcPr>
            <w:tcW w:w="4680" w:type="dxa"/>
            <w:shd w:val="clear" w:color="auto" w:fill="auto"/>
            <w:noWrap/>
            <w:vAlign w:val="center"/>
            <w:hideMark/>
          </w:tcPr>
          <w:p w:rsidR="00EF23D7" w:rsidRPr="00780E04" w:rsidRDefault="00EF23D7" w:rsidP="00124F98">
            <w:pPr>
              <w:rPr>
                <w:b/>
                <w:bCs/>
                <w:color w:val="000000"/>
                <w:sz w:val="22"/>
                <w:lang w:val="en-PH"/>
              </w:rPr>
            </w:pPr>
            <w:r w:rsidRPr="00780E04">
              <w:rPr>
                <w:b/>
                <w:bCs/>
                <w:color w:val="000000"/>
                <w:sz w:val="22"/>
                <w:lang w:val="en-PH"/>
              </w:rPr>
              <w:t>Total</w:t>
            </w:r>
          </w:p>
        </w:tc>
        <w:tc>
          <w:tcPr>
            <w:tcW w:w="1890" w:type="dxa"/>
            <w:shd w:val="clear" w:color="auto" w:fill="auto"/>
            <w:noWrap/>
            <w:vAlign w:val="center"/>
            <w:hideMark/>
          </w:tcPr>
          <w:p w:rsidR="00EF23D7" w:rsidRPr="00780E04" w:rsidRDefault="00EF23D7" w:rsidP="00496306">
            <w:pPr>
              <w:jc w:val="right"/>
              <w:rPr>
                <w:b/>
                <w:color w:val="000000"/>
                <w:sz w:val="22"/>
                <w:lang w:val="en-PH"/>
              </w:rPr>
            </w:pPr>
            <w:r w:rsidRPr="00780E04">
              <w:rPr>
                <w:b/>
                <w:color w:val="000000"/>
                <w:sz w:val="22"/>
                <w:lang w:val="en-PH"/>
              </w:rPr>
              <w:t>849,888.84</w:t>
            </w:r>
          </w:p>
        </w:tc>
        <w:tc>
          <w:tcPr>
            <w:tcW w:w="1710" w:type="dxa"/>
            <w:shd w:val="clear" w:color="auto" w:fill="auto"/>
            <w:noWrap/>
            <w:vAlign w:val="center"/>
            <w:hideMark/>
          </w:tcPr>
          <w:p w:rsidR="00EF23D7" w:rsidRPr="00780E04" w:rsidRDefault="00EF23D7" w:rsidP="00496306">
            <w:pPr>
              <w:jc w:val="right"/>
              <w:rPr>
                <w:b/>
                <w:color w:val="000000"/>
                <w:sz w:val="22"/>
                <w:lang w:val="en-PH"/>
              </w:rPr>
            </w:pPr>
            <w:r w:rsidRPr="00780E04">
              <w:rPr>
                <w:color w:val="000000"/>
                <w:sz w:val="22"/>
                <w:lang w:val="en-PH"/>
              </w:rPr>
              <w:t> </w:t>
            </w:r>
            <w:r w:rsidRPr="00780E04">
              <w:rPr>
                <w:b/>
                <w:color w:val="000000"/>
                <w:sz w:val="22"/>
                <w:lang w:val="en-PH"/>
              </w:rPr>
              <w:t>1,236,951.72</w:t>
            </w:r>
          </w:p>
        </w:tc>
      </w:tr>
    </w:tbl>
    <w:p w:rsidR="00621E01" w:rsidRDefault="00621E01" w:rsidP="00124F98">
      <w:pPr>
        <w:rPr>
          <w:b/>
          <w:sz w:val="24"/>
          <w:szCs w:val="24"/>
        </w:rPr>
      </w:pPr>
    </w:p>
    <w:p w:rsidR="00FA2253" w:rsidRDefault="00D31D1E" w:rsidP="00A010EE">
      <w:pPr>
        <w:pStyle w:val="BodyTextIndent"/>
        <w:numPr>
          <w:ilvl w:val="0"/>
          <w:numId w:val="18"/>
        </w:numPr>
        <w:ind w:left="426" w:hanging="426"/>
        <w:rPr>
          <w:b/>
          <w:szCs w:val="24"/>
        </w:rPr>
      </w:pPr>
      <w:r>
        <w:rPr>
          <w:b/>
          <w:szCs w:val="24"/>
        </w:rPr>
        <w:t>Adjustments – Cash Inflows from Operating Activities</w:t>
      </w:r>
    </w:p>
    <w:p w:rsidR="00FA2253" w:rsidRDefault="00FA2253" w:rsidP="00124F98">
      <w:pPr>
        <w:tabs>
          <w:tab w:val="left" w:pos="360"/>
          <w:tab w:val="left" w:pos="450"/>
        </w:tabs>
        <w:rPr>
          <w:b/>
          <w:sz w:val="24"/>
          <w:szCs w:val="24"/>
        </w:rPr>
      </w:pPr>
      <w:r>
        <w:rPr>
          <w:b/>
          <w:sz w:val="24"/>
          <w:szCs w:val="24"/>
        </w:rPr>
        <w:tab/>
      </w:r>
    </w:p>
    <w:p w:rsidR="004D39D9" w:rsidRDefault="00016957" w:rsidP="00A010EE">
      <w:pPr>
        <w:ind w:left="426"/>
        <w:jc w:val="both"/>
        <w:rPr>
          <w:sz w:val="24"/>
          <w:szCs w:val="24"/>
        </w:rPr>
      </w:pPr>
      <w:r>
        <w:rPr>
          <w:sz w:val="24"/>
          <w:szCs w:val="24"/>
        </w:rPr>
        <w:t xml:space="preserve">This account refers to </w:t>
      </w:r>
      <w:r w:rsidR="00EF23D7">
        <w:rPr>
          <w:sz w:val="24"/>
          <w:szCs w:val="24"/>
        </w:rPr>
        <w:t>amount reve</w:t>
      </w:r>
      <w:r w:rsidR="00157614">
        <w:rPr>
          <w:sz w:val="24"/>
          <w:szCs w:val="24"/>
        </w:rPr>
        <w:t>r</w:t>
      </w:r>
      <w:r w:rsidR="00EF23D7">
        <w:rPr>
          <w:sz w:val="24"/>
          <w:szCs w:val="24"/>
        </w:rPr>
        <w:t>ted to the</w:t>
      </w:r>
      <w:r>
        <w:rPr>
          <w:sz w:val="24"/>
          <w:szCs w:val="24"/>
        </w:rPr>
        <w:t xml:space="preserve"> cash </w:t>
      </w:r>
      <w:r w:rsidR="00101E47">
        <w:rPr>
          <w:sz w:val="24"/>
          <w:szCs w:val="24"/>
        </w:rPr>
        <w:t xml:space="preserve">account for cancelled and stale </w:t>
      </w:r>
      <w:r w:rsidR="002229F7">
        <w:rPr>
          <w:sz w:val="24"/>
          <w:szCs w:val="24"/>
        </w:rPr>
        <w:t>checks in the total amount of ₱</w:t>
      </w:r>
      <w:r w:rsidR="00101E47">
        <w:rPr>
          <w:sz w:val="24"/>
          <w:szCs w:val="24"/>
        </w:rPr>
        <w:t>126,426.96.</w:t>
      </w:r>
    </w:p>
    <w:p w:rsidR="005A3F26" w:rsidRDefault="005A3F26" w:rsidP="00124F98">
      <w:pPr>
        <w:tabs>
          <w:tab w:val="left" w:pos="360"/>
          <w:tab w:val="left" w:pos="450"/>
        </w:tabs>
        <w:ind w:left="360"/>
        <w:rPr>
          <w:sz w:val="24"/>
          <w:szCs w:val="24"/>
        </w:rPr>
      </w:pPr>
    </w:p>
    <w:p w:rsidR="00215DA2" w:rsidRDefault="00215DA2" w:rsidP="00A010EE">
      <w:pPr>
        <w:pStyle w:val="BodyTextIndent"/>
        <w:numPr>
          <w:ilvl w:val="0"/>
          <w:numId w:val="18"/>
        </w:numPr>
        <w:ind w:left="426" w:hanging="426"/>
        <w:rPr>
          <w:b/>
          <w:szCs w:val="24"/>
        </w:rPr>
      </w:pPr>
      <w:r w:rsidRPr="00215DA2">
        <w:rPr>
          <w:b/>
          <w:szCs w:val="24"/>
        </w:rPr>
        <w:t>Payment of Expenses</w:t>
      </w:r>
    </w:p>
    <w:p w:rsidR="00215DA2" w:rsidRDefault="00215DA2" w:rsidP="00124F98">
      <w:pPr>
        <w:rPr>
          <w:b/>
          <w:sz w:val="24"/>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FE5E19" w:rsidRPr="00780E04" w:rsidTr="00780E04">
        <w:trPr>
          <w:trHeight w:val="259"/>
        </w:trPr>
        <w:tc>
          <w:tcPr>
            <w:tcW w:w="4680" w:type="dxa"/>
            <w:shd w:val="clear" w:color="auto" w:fill="auto"/>
            <w:noWrap/>
            <w:vAlign w:val="center"/>
            <w:hideMark/>
          </w:tcPr>
          <w:p w:rsidR="00FE5E19" w:rsidRPr="00780E04" w:rsidRDefault="00FE5E19" w:rsidP="00A83CE7">
            <w:pPr>
              <w:jc w:val="center"/>
              <w:rPr>
                <w:b/>
                <w:bCs/>
                <w:color w:val="000000"/>
                <w:sz w:val="22"/>
                <w:lang w:val="en-PH"/>
              </w:rPr>
            </w:pPr>
            <w:r w:rsidRPr="00780E04">
              <w:rPr>
                <w:b/>
                <w:bCs/>
                <w:color w:val="000000"/>
                <w:sz w:val="22"/>
                <w:lang w:val="en-PH"/>
              </w:rPr>
              <w:t>Particulars</w:t>
            </w:r>
          </w:p>
        </w:tc>
        <w:tc>
          <w:tcPr>
            <w:tcW w:w="1890" w:type="dxa"/>
            <w:shd w:val="clear" w:color="auto" w:fill="auto"/>
            <w:noWrap/>
            <w:vAlign w:val="center"/>
            <w:hideMark/>
          </w:tcPr>
          <w:p w:rsidR="00FE5E19" w:rsidRPr="00780E04" w:rsidRDefault="00FE5E19" w:rsidP="00A83CE7">
            <w:pPr>
              <w:jc w:val="center"/>
              <w:rPr>
                <w:b/>
                <w:bCs/>
                <w:color w:val="000000"/>
                <w:sz w:val="22"/>
                <w:lang w:val="en-PH"/>
              </w:rPr>
            </w:pPr>
            <w:r w:rsidRPr="00780E04">
              <w:rPr>
                <w:b/>
                <w:bCs/>
                <w:color w:val="000000"/>
                <w:sz w:val="22"/>
                <w:lang w:val="en-PH"/>
              </w:rPr>
              <w:t>2016</w:t>
            </w:r>
          </w:p>
        </w:tc>
        <w:tc>
          <w:tcPr>
            <w:tcW w:w="1710" w:type="dxa"/>
            <w:shd w:val="clear" w:color="auto" w:fill="auto"/>
            <w:noWrap/>
            <w:vAlign w:val="center"/>
            <w:hideMark/>
          </w:tcPr>
          <w:p w:rsidR="00FE5E19" w:rsidRPr="00780E04" w:rsidRDefault="00FE5E19" w:rsidP="00A83CE7">
            <w:pPr>
              <w:jc w:val="center"/>
              <w:rPr>
                <w:b/>
                <w:bCs/>
                <w:color w:val="000000"/>
                <w:sz w:val="22"/>
                <w:lang w:val="en-PH"/>
              </w:rPr>
            </w:pPr>
            <w:r w:rsidRPr="00780E04">
              <w:rPr>
                <w:b/>
                <w:bCs/>
                <w:color w:val="000000"/>
                <w:sz w:val="22"/>
                <w:lang w:val="en-PH"/>
              </w:rPr>
              <w:t>2015</w:t>
            </w:r>
          </w:p>
        </w:tc>
      </w:tr>
      <w:tr w:rsidR="00FE5E19" w:rsidRPr="00780E04" w:rsidTr="00780E04">
        <w:trPr>
          <w:trHeight w:val="259"/>
        </w:trPr>
        <w:tc>
          <w:tcPr>
            <w:tcW w:w="4680" w:type="dxa"/>
            <w:shd w:val="clear" w:color="auto" w:fill="auto"/>
            <w:noWrap/>
            <w:vAlign w:val="center"/>
            <w:hideMark/>
          </w:tcPr>
          <w:p w:rsidR="00FE5E19" w:rsidRPr="00780E04" w:rsidRDefault="00FE5E19" w:rsidP="001F6AA8">
            <w:pPr>
              <w:rPr>
                <w:color w:val="000000"/>
                <w:sz w:val="22"/>
                <w:lang w:val="en-PH"/>
              </w:rPr>
            </w:pPr>
            <w:r w:rsidRPr="00780E04">
              <w:rPr>
                <w:color w:val="000000"/>
                <w:sz w:val="22"/>
                <w:lang w:val="en-PH"/>
              </w:rPr>
              <w:t>Payment of personnel services</w:t>
            </w:r>
          </w:p>
        </w:tc>
        <w:tc>
          <w:tcPr>
            <w:tcW w:w="1890" w:type="dxa"/>
            <w:shd w:val="clear" w:color="auto" w:fill="auto"/>
            <w:noWrap/>
          </w:tcPr>
          <w:p w:rsidR="00FE5E19" w:rsidRPr="00780E04" w:rsidRDefault="00FE5E19" w:rsidP="00780E04">
            <w:pPr>
              <w:jc w:val="right"/>
              <w:rPr>
                <w:color w:val="000000"/>
                <w:sz w:val="22"/>
                <w:lang w:val="en-PH"/>
              </w:rPr>
            </w:pPr>
            <w:r w:rsidRPr="00780E04">
              <w:rPr>
                <w:color w:val="000000"/>
                <w:sz w:val="22"/>
                <w:lang w:val="en-PH"/>
              </w:rPr>
              <w:t>10,974,933.88</w:t>
            </w:r>
          </w:p>
        </w:tc>
        <w:tc>
          <w:tcPr>
            <w:tcW w:w="171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3,749,169.84</w:t>
            </w:r>
          </w:p>
        </w:tc>
      </w:tr>
      <w:tr w:rsidR="00FE5E19" w:rsidRPr="00780E04" w:rsidTr="00780E04">
        <w:trPr>
          <w:trHeight w:val="259"/>
        </w:trPr>
        <w:tc>
          <w:tcPr>
            <w:tcW w:w="4680" w:type="dxa"/>
            <w:shd w:val="clear" w:color="auto" w:fill="auto"/>
            <w:noWrap/>
            <w:vAlign w:val="center"/>
            <w:hideMark/>
          </w:tcPr>
          <w:p w:rsidR="00FE5E19" w:rsidRPr="00780E04" w:rsidRDefault="00FE5E19" w:rsidP="001F6AA8">
            <w:pPr>
              <w:rPr>
                <w:color w:val="000000"/>
                <w:sz w:val="22"/>
                <w:lang w:val="en-PH"/>
              </w:rPr>
            </w:pPr>
            <w:r w:rsidRPr="00780E04">
              <w:rPr>
                <w:color w:val="000000"/>
                <w:sz w:val="22"/>
                <w:lang w:val="en-PH"/>
              </w:rPr>
              <w:t>Payment of maintenance and other operating expenses</w:t>
            </w:r>
          </w:p>
        </w:tc>
        <w:tc>
          <w:tcPr>
            <w:tcW w:w="1890" w:type="dxa"/>
            <w:shd w:val="clear" w:color="auto" w:fill="auto"/>
            <w:noWrap/>
          </w:tcPr>
          <w:p w:rsidR="00FE5E19" w:rsidRPr="00780E04" w:rsidRDefault="00FE5E19" w:rsidP="00780E04">
            <w:pPr>
              <w:jc w:val="right"/>
              <w:rPr>
                <w:color w:val="000000"/>
                <w:sz w:val="22"/>
                <w:lang w:val="en-PH"/>
              </w:rPr>
            </w:pPr>
            <w:r w:rsidRPr="00780E04">
              <w:rPr>
                <w:color w:val="000000"/>
                <w:sz w:val="22"/>
                <w:lang w:val="en-PH"/>
              </w:rPr>
              <w:t>34,983,725.71</w:t>
            </w:r>
          </w:p>
        </w:tc>
        <w:tc>
          <w:tcPr>
            <w:tcW w:w="171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40,945,306.98</w:t>
            </w:r>
          </w:p>
        </w:tc>
      </w:tr>
      <w:tr w:rsidR="00FE5E19" w:rsidRPr="00780E04" w:rsidTr="00780E04">
        <w:trPr>
          <w:trHeight w:val="259"/>
        </w:trPr>
        <w:tc>
          <w:tcPr>
            <w:tcW w:w="4680" w:type="dxa"/>
            <w:shd w:val="clear" w:color="auto" w:fill="auto"/>
            <w:noWrap/>
            <w:vAlign w:val="center"/>
          </w:tcPr>
          <w:p w:rsidR="00FE5E19" w:rsidRPr="00780E04" w:rsidRDefault="00FE5E19" w:rsidP="001F6AA8">
            <w:pPr>
              <w:rPr>
                <w:color w:val="000000"/>
                <w:sz w:val="22"/>
                <w:lang w:val="en-PH"/>
              </w:rPr>
            </w:pPr>
            <w:r w:rsidRPr="00780E04">
              <w:rPr>
                <w:color w:val="000000"/>
                <w:sz w:val="22"/>
                <w:lang w:val="en-PH"/>
              </w:rPr>
              <w:t>Payment of financial expenses</w:t>
            </w:r>
          </w:p>
        </w:tc>
        <w:tc>
          <w:tcPr>
            <w:tcW w:w="1890" w:type="dxa"/>
            <w:shd w:val="clear" w:color="auto" w:fill="auto"/>
            <w:noWrap/>
          </w:tcPr>
          <w:p w:rsidR="00FE5E19" w:rsidRPr="00780E04" w:rsidRDefault="00FE5E19" w:rsidP="00780E04">
            <w:pPr>
              <w:jc w:val="right"/>
              <w:rPr>
                <w:color w:val="000000"/>
                <w:sz w:val="22"/>
                <w:lang w:val="en-PH"/>
              </w:rPr>
            </w:pPr>
            <w:r w:rsidRPr="00780E04">
              <w:rPr>
                <w:color w:val="000000"/>
                <w:sz w:val="22"/>
                <w:lang w:val="en-PH"/>
              </w:rPr>
              <w:t>200.00</w:t>
            </w:r>
          </w:p>
        </w:tc>
        <w:tc>
          <w:tcPr>
            <w:tcW w:w="1710" w:type="dxa"/>
            <w:shd w:val="clear" w:color="auto" w:fill="auto"/>
            <w:noWrap/>
          </w:tcPr>
          <w:p w:rsidR="00FE5E19" w:rsidRPr="00780E04" w:rsidRDefault="002367EE" w:rsidP="00780E04">
            <w:pPr>
              <w:jc w:val="right"/>
              <w:rPr>
                <w:color w:val="000000"/>
                <w:sz w:val="22"/>
                <w:lang w:val="en-PH"/>
              </w:rPr>
            </w:pPr>
            <w:r w:rsidRPr="00780E04">
              <w:rPr>
                <w:color w:val="000000"/>
                <w:sz w:val="22"/>
                <w:lang w:val="en-PH"/>
              </w:rPr>
              <w:t>-</w:t>
            </w:r>
          </w:p>
        </w:tc>
      </w:tr>
      <w:tr w:rsidR="00FE5E19" w:rsidRPr="00780E04" w:rsidTr="00780E04">
        <w:trPr>
          <w:trHeight w:val="259"/>
        </w:trPr>
        <w:tc>
          <w:tcPr>
            <w:tcW w:w="4680" w:type="dxa"/>
            <w:shd w:val="clear" w:color="auto" w:fill="auto"/>
            <w:noWrap/>
            <w:vAlign w:val="center"/>
            <w:hideMark/>
          </w:tcPr>
          <w:p w:rsidR="00FE5E19" w:rsidRPr="00780E04" w:rsidRDefault="00FE5E19" w:rsidP="001F6AA8">
            <w:pPr>
              <w:rPr>
                <w:color w:val="000000"/>
                <w:sz w:val="22"/>
                <w:lang w:val="en-PH"/>
              </w:rPr>
            </w:pPr>
            <w:r w:rsidRPr="00780E04">
              <w:rPr>
                <w:color w:val="000000"/>
                <w:sz w:val="22"/>
                <w:lang w:val="en-PH"/>
              </w:rPr>
              <w:t>Payment of expenses pertaining to / incurred in the prior years</w:t>
            </w:r>
          </w:p>
        </w:tc>
        <w:tc>
          <w:tcPr>
            <w:tcW w:w="1890" w:type="dxa"/>
            <w:shd w:val="clear" w:color="auto" w:fill="auto"/>
            <w:noWrap/>
          </w:tcPr>
          <w:p w:rsidR="00FE5E19" w:rsidRPr="00780E04" w:rsidRDefault="00FE5E19" w:rsidP="00780E04">
            <w:pPr>
              <w:jc w:val="right"/>
              <w:rPr>
                <w:color w:val="000000"/>
                <w:sz w:val="22"/>
                <w:lang w:val="en-PH"/>
              </w:rPr>
            </w:pPr>
            <w:r w:rsidRPr="00780E04">
              <w:rPr>
                <w:color w:val="000000"/>
                <w:sz w:val="22"/>
                <w:lang w:val="en-PH"/>
              </w:rPr>
              <w:t>1,033,324.38</w:t>
            </w:r>
          </w:p>
        </w:tc>
        <w:tc>
          <w:tcPr>
            <w:tcW w:w="171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584, 760.4</w:t>
            </w:r>
          </w:p>
        </w:tc>
      </w:tr>
      <w:tr w:rsidR="00FE5E19" w:rsidRPr="00780E04" w:rsidTr="00780E04">
        <w:trPr>
          <w:trHeight w:val="259"/>
        </w:trPr>
        <w:tc>
          <w:tcPr>
            <w:tcW w:w="4680" w:type="dxa"/>
            <w:shd w:val="clear" w:color="auto" w:fill="auto"/>
            <w:noWrap/>
            <w:vAlign w:val="center"/>
            <w:hideMark/>
          </w:tcPr>
          <w:p w:rsidR="00FE5E19" w:rsidRPr="00780E04" w:rsidRDefault="00FE5E19" w:rsidP="00991002">
            <w:pPr>
              <w:rPr>
                <w:b/>
                <w:bCs/>
                <w:color w:val="000000"/>
                <w:sz w:val="22"/>
                <w:lang w:val="en-PH"/>
              </w:rPr>
            </w:pPr>
            <w:r w:rsidRPr="00780E04">
              <w:rPr>
                <w:b/>
                <w:bCs/>
                <w:color w:val="000000"/>
                <w:sz w:val="22"/>
                <w:lang w:val="en-PH"/>
              </w:rPr>
              <w:t xml:space="preserve">Total </w:t>
            </w:r>
          </w:p>
        </w:tc>
        <w:tc>
          <w:tcPr>
            <w:tcW w:w="1890" w:type="dxa"/>
            <w:shd w:val="clear" w:color="auto" w:fill="auto"/>
            <w:noWrap/>
            <w:vAlign w:val="center"/>
          </w:tcPr>
          <w:p w:rsidR="00FE5E19" w:rsidRPr="00780E04" w:rsidRDefault="00FE5E19" w:rsidP="001F6AA8">
            <w:pPr>
              <w:jc w:val="right"/>
              <w:rPr>
                <w:b/>
                <w:color w:val="000000"/>
                <w:sz w:val="22"/>
                <w:lang w:val="en-PH"/>
              </w:rPr>
            </w:pPr>
            <w:r w:rsidRPr="00780E04">
              <w:rPr>
                <w:b/>
                <w:color w:val="000000"/>
                <w:sz w:val="22"/>
                <w:lang w:val="en-PH"/>
              </w:rPr>
              <w:t>46,992,183.97</w:t>
            </w:r>
          </w:p>
        </w:tc>
        <w:tc>
          <w:tcPr>
            <w:tcW w:w="1710" w:type="dxa"/>
            <w:shd w:val="clear" w:color="auto" w:fill="auto"/>
            <w:noWrap/>
            <w:vAlign w:val="center"/>
            <w:hideMark/>
          </w:tcPr>
          <w:p w:rsidR="00FE5E19" w:rsidRPr="00780E04" w:rsidRDefault="00FE5E19" w:rsidP="001F6AA8">
            <w:pPr>
              <w:jc w:val="right"/>
              <w:rPr>
                <w:color w:val="000000"/>
                <w:sz w:val="22"/>
                <w:lang w:val="en-PH"/>
              </w:rPr>
            </w:pPr>
            <w:r w:rsidRPr="00780E04">
              <w:rPr>
                <w:b/>
                <w:color w:val="000000"/>
                <w:sz w:val="22"/>
                <w:lang w:val="en-PH"/>
              </w:rPr>
              <w:t>45,279,237.29</w:t>
            </w:r>
          </w:p>
        </w:tc>
      </w:tr>
    </w:tbl>
    <w:p w:rsidR="005F0B67" w:rsidRDefault="005F0B67" w:rsidP="005F0B67">
      <w:pPr>
        <w:pStyle w:val="BodyTextIndent"/>
        <w:ind w:firstLine="0"/>
        <w:rPr>
          <w:b/>
          <w:szCs w:val="24"/>
        </w:rPr>
      </w:pPr>
    </w:p>
    <w:p w:rsidR="00215DA2" w:rsidRDefault="00215DA2" w:rsidP="00A010EE">
      <w:pPr>
        <w:pStyle w:val="BodyTextIndent"/>
        <w:numPr>
          <w:ilvl w:val="0"/>
          <w:numId w:val="18"/>
        </w:numPr>
        <w:ind w:left="426" w:hanging="426"/>
        <w:rPr>
          <w:b/>
          <w:szCs w:val="24"/>
        </w:rPr>
      </w:pPr>
      <w:r w:rsidRPr="00215DA2">
        <w:rPr>
          <w:b/>
          <w:szCs w:val="24"/>
        </w:rPr>
        <w:t>Granting of Cash Advances</w:t>
      </w:r>
    </w:p>
    <w:p w:rsidR="00916EF5" w:rsidRDefault="00916EF5" w:rsidP="00124F98">
      <w:pPr>
        <w:rPr>
          <w:b/>
          <w:sz w:val="24"/>
          <w:szCs w:val="24"/>
        </w:rPr>
      </w:pPr>
    </w:p>
    <w:p w:rsidR="00916EF5" w:rsidRDefault="00916EF5" w:rsidP="00A010EE">
      <w:pPr>
        <w:ind w:left="426"/>
        <w:jc w:val="both"/>
        <w:rPr>
          <w:bCs/>
          <w:color w:val="000000"/>
          <w:sz w:val="24"/>
          <w:szCs w:val="24"/>
        </w:rPr>
      </w:pPr>
      <w:r>
        <w:rPr>
          <w:bCs/>
          <w:color w:val="000000"/>
          <w:sz w:val="24"/>
          <w:szCs w:val="24"/>
        </w:rPr>
        <w:t xml:space="preserve">The total Cash Advances/payroll fund/petty cash fund </w:t>
      </w:r>
      <w:r w:rsidRPr="00B6544C">
        <w:rPr>
          <w:bCs/>
          <w:color w:val="000000"/>
          <w:sz w:val="24"/>
          <w:szCs w:val="24"/>
        </w:rPr>
        <w:t>granted during</w:t>
      </w:r>
      <w:r>
        <w:rPr>
          <w:bCs/>
          <w:color w:val="000000"/>
          <w:sz w:val="24"/>
          <w:szCs w:val="24"/>
        </w:rPr>
        <w:t xml:space="preserve"> </w:t>
      </w:r>
      <w:r w:rsidR="005F0B67">
        <w:rPr>
          <w:bCs/>
          <w:color w:val="000000"/>
          <w:sz w:val="24"/>
          <w:szCs w:val="24"/>
        </w:rPr>
        <w:t>C</w:t>
      </w:r>
      <w:r>
        <w:rPr>
          <w:bCs/>
          <w:color w:val="000000"/>
          <w:sz w:val="24"/>
          <w:szCs w:val="24"/>
        </w:rPr>
        <w:t xml:space="preserve">Y 2016 is detailed as follows: </w:t>
      </w:r>
    </w:p>
    <w:p w:rsidR="00916EF5" w:rsidRDefault="00916EF5" w:rsidP="00FE5E19">
      <w:pPr>
        <w:ind w:left="360"/>
        <w:rPr>
          <w:b/>
          <w:sz w:val="24"/>
          <w:szCs w:val="24"/>
        </w:rPr>
      </w:pPr>
    </w:p>
    <w:tbl>
      <w:tblPr>
        <w:tblW w:w="73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41"/>
        <w:gridCol w:w="1481"/>
      </w:tblGrid>
      <w:tr w:rsidR="003D5279" w:rsidRPr="00780E04" w:rsidTr="00780E04">
        <w:trPr>
          <w:trHeight w:val="144"/>
        </w:trPr>
        <w:tc>
          <w:tcPr>
            <w:tcW w:w="4680" w:type="dxa"/>
            <w:shd w:val="clear" w:color="auto" w:fill="auto"/>
            <w:noWrap/>
            <w:hideMark/>
          </w:tcPr>
          <w:p w:rsidR="003D5279" w:rsidRPr="009669C6" w:rsidRDefault="005F0B67" w:rsidP="00FE5E19">
            <w:pPr>
              <w:ind w:left="360"/>
              <w:contextualSpacing/>
              <w:jc w:val="center"/>
              <w:rPr>
                <w:b/>
                <w:bCs/>
                <w:color w:val="000000"/>
                <w:sz w:val="22"/>
                <w:lang w:val="en-PH"/>
              </w:rPr>
            </w:pPr>
            <w:r w:rsidRPr="009669C6">
              <w:rPr>
                <w:b/>
                <w:bCs/>
                <w:color w:val="000000"/>
                <w:sz w:val="22"/>
                <w:lang w:val="en-PH"/>
              </w:rPr>
              <w:t>Particulars</w:t>
            </w:r>
          </w:p>
        </w:tc>
        <w:tc>
          <w:tcPr>
            <w:tcW w:w="1841" w:type="dxa"/>
            <w:shd w:val="clear" w:color="auto" w:fill="auto"/>
            <w:noWrap/>
            <w:hideMark/>
          </w:tcPr>
          <w:p w:rsidR="003D5279" w:rsidRPr="00780E04" w:rsidRDefault="003D5279" w:rsidP="00A010EE">
            <w:pPr>
              <w:contextualSpacing/>
              <w:jc w:val="center"/>
              <w:rPr>
                <w:b/>
                <w:bCs/>
                <w:color w:val="000000"/>
                <w:sz w:val="22"/>
                <w:lang w:val="en-PH"/>
              </w:rPr>
            </w:pPr>
            <w:r w:rsidRPr="00780E04">
              <w:rPr>
                <w:b/>
                <w:bCs/>
                <w:color w:val="000000"/>
                <w:sz w:val="22"/>
                <w:lang w:val="en-PH"/>
              </w:rPr>
              <w:t>2016</w:t>
            </w:r>
          </w:p>
        </w:tc>
        <w:tc>
          <w:tcPr>
            <w:tcW w:w="859" w:type="dxa"/>
            <w:shd w:val="clear" w:color="auto" w:fill="auto"/>
            <w:noWrap/>
            <w:hideMark/>
          </w:tcPr>
          <w:p w:rsidR="003D5279" w:rsidRPr="00780E04" w:rsidRDefault="003D5279" w:rsidP="00A010EE">
            <w:pPr>
              <w:contextualSpacing/>
              <w:jc w:val="center"/>
              <w:rPr>
                <w:b/>
                <w:bCs/>
                <w:color w:val="000000"/>
                <w:sz w:val="22"/>
                <w:lang w:val="en-PH"/>
              </w:rPr>
            </w:pPr>
            <w:r w:rsidRPr="00780E04">
              <w:rPr>
                <w:b/>
                <w:bCs/>
                <w:color w:val="000000"/>
                <w:sz w:val="22"/>
                <w:lang w:val="en-PH"/>
              </w:rPr>
              <w:t>2015</w:t>
            </w:r>
          </w:p>
        </w:tc>
      </w:tr>
      <w:tr w:rsidR="003D5279" w:rsidRPr="00780E04" w:rsidTr="00780E04">
        <w:trPr>
          <w:trHeight w:val="144"/>
        </w:trPr>
        <w:tc>
          <w:tcPr>
            <w:tcW w:w="4680" w:type="dxa"/>
            <w:shd w:val="clear" w:color="auto" w:fill="auto"/>
            <w:noWrap/>
            <w:vAlign w:val="center"/>
            <w:hideMark/>
          </w:tcPr>
          <w:p w:rsidR="003D5279" w:rsidRPr="009669C6" w:rsidRDefault="003D5279" w:rsidP="00FE5E19">
            <w:pPr>
              <w:ind w:left="72"/>
              <w:contextualSpacing/>
              <w:rPr>
                <w:color w:val="000000"/>
                <w:sz w:val="22"/>
                <w:lang w:val="en-PH"/>
              </w:rPr>
            </w:pPr>
            <w:r w:rsidRPr="009669C6">
              <w:rPr>
                <w:color w:val="000000"/>
                <w:sz w:val="22"/>
                <w:lang w:val="en-PH"/>
              </w:rPr>
              <w:t>Petty Cash</w:t>
            </w:r>
          </w:p>
        </w:tc>
        <w:tc>
          <w:tcPr>
            <w:tcW w:w="1841" w:type="dxa"/>
            <w:shd w:val="clear" w:color="auto" w:fill="auto"/>
            <w:noWrap/>
            <w:vAlign w:val="bottom"/>
            <w:hideMark/>
          </w:tcPr>
          <w:p w:rsidR="003D5279" w:rsidRPr="00780E04" w:rsidRDefault="003D5279" w:rsidP="00A010EE">
            <w:pPr>
              <w:contextualSpacing/>
              <w:jc w:val="right"/>
              <w:rPr>
                <w:color w:val="000000"/>
                <w:sz w:val="22"/>
                <w:lang w:val="en-PH"/>
              </w:rPr>
            </w:pPr>
            <w:r w:rsidRPr="00780E04">
              <w:rPr>
                <w:color w:val="000000"/>
                <w:sz w:val="22"/>
                <w:lang w:val="en-PH"/>
              </w:rPr>
              <w:t>-</w:t>
            </w:r>
          </w:p>
        </w:tc>
        <w:tc>
          <w:tcPr>
            <w:tcW w:w="859" w:type="dxa"/>
            <w:shd w:val="clear" w:color="auto" w:fill="auto"/>
            <w:noWrap/>
            <w:vAlign w:val="bottom"/>
            <w:hideMark/>
          </w:tcPr>
          <w:p w:rsidR="003D5279" w:rsidRPr="00780E04" w:rsidRDefault="003D5279" w:rsidP="00A010EE">
            <w:pPr>
              <w:contextualSpacing/>
              <w:jc w:val="right"/>
              <w:rPr>
                <w:color w:val="000000"/>
                <w:sz w:val="22"/>
                <w:lang w:val="en-PH"/>
              </w:rPr>
            </w:pPr>
            <w:r w:rsidRPr="00780E04">
              <w:rPr>
                <w:color w:val="000000"/>
                <w:sz w:val="22"/>
                <w:lang w:val="en-PH"/>
              </w:rPr>
              <w:t>639,431.51</w:t>
            </w:r>
          </w:p>
        </w:tc>
      </w:tr>
      <w:tr w:rsidR="003D5279" w:rsidRPr="00780E04" w:rsidTr="00780E04">
        <w:trPr>
          <w:trHeight w:val="144"/>
        </w:trPr>
        <w:tc>
          <w:tcPr>
            <w:tcW w:w="4680" w:type="dxa"/>
            <w:shd w:val="clear" w:color="auto" w:fill="auto"/>
            <w:noWrap/>
            <w:vAlign w:val="center"/>
            <w:hideMark/>
          </w:tcPr>
          <w:p w:rsidR="003D5279" w:rsidRPr="00780E04" w:rsidRDefault="003D5279" w:rsidP="00FE5E19">
            <w:pPr>
              <w:ind w:left="72"/>
              <w:contextualSpacing/>
              <w:rPr>
                <w:color w:val="000000"/>
                <w:sz w:val="22"/>
                <w:lang w:val="en-PH"/>
              </w:rPr>
            </w:pPr>
            <w:r w:rsidRPr="00780E04">
              <w:rPr>
                <w:color w:val="000000"/>
                <w:sz w:val="22"/>
                <w:lang w:val="en-PH"/>
              </w:rPr>
              <w:t>Payroll</w:t>
            </w:r>
          </w:p>
        </w:tc>
        <w:tc>
          <w:tcPr>
            <w:tcW w:w="1841" w:type="dxa"/>
            <w:shd w:val="clear" w:color="auto" w:fill="auto"/>
            <w:noWrap/>
            <w:vAlign w:val="bottom"/>
          </w:tcPr>
          <w:p w:rsidR="003D5279" w:rsidRPr="00780E04" w:rsidRDefault="003D5279" w:rsidP="00A010EE">
            <w:pPr>
              <w:contextualSpacing/>
              <w:jc w:val="right"/>
              <w:rPr>
                <w:b/>
                <w:color w:val="000000"/>
                <w:sz w:val="22"/>
                <w:lang w:val="en-PH"/>
              </w:rPr>
            </w:pPr>
            <w:r w:rsidRPr="00780E04">
              <w:rPr>
                <w:color w:val="000000"/>
                <w:sz w:val="22"/>
                <w:lang w:val="en-PH"/>
              </w:rPr>
              <w:t>79,443,555.15</w:t>
            </w:r>
          </w:p>
        </w:tc>
        <w:tc>
          <w:tcPr>
            <w:tcW w:w="859" w:type="dxa"/>
            <w:shd w:val="clear" w:color="auto" w:fill="auto"/>
            <w:noWrap/>
            <w:vAlign w:val="bottom"/>
            <w:hideMark/>
          </w:tcPr>
          <w:p w:rsidR="003D5279" w:rsidRPr="00780E04" w:rsidRDefault="003D5279" w:rsidP="00A010EE">
            <w:pPr>
              <w:contextualSpacing/>
              <w:jc w:val="right"/>
              <w:rPr>
                <w:color w:val="000000"/>
                <w:sz w:val="22"/>
                <w:lang w:val="en-PH"/>
              </w:rPr>
            </w:pPr>
            <w:r w:rsidRPr="00780E04">
              <w:rPr>
                <w:color w:val="000000"/>
                <w:sz w:val="22"/>
                <w:lang w:val="en-PH"/>
              </w:rPr>
              <w:t>76,901,387.65</w:t>
            </w:r>
          </w:p>
        </w:tc>
      </w:tr>
      <w:tr w:rsidR="003D5279" w:rsidRPr="00780E04" w:rsidTr="00780E04">
        <w:trPr>
          <w:trHeight w:val="144"/>
        </w:trPr>
        <w:tc>
          <w:tcPr>
            <w:tcW w:w="4680" w:type="dxa"/>
            <w:shd w:val="clear" w:color="auto" w:fill="auto"/>
            <w:noWrap/>
            <w:vAlign w:val="center"/>
            <w:hideMark/>
          </w:tcPr>
          <w:p w:rsidR="003D5279" w:rsidRPr="00780E04" w:rsidRDefault="003D5279" w:rsidP="00FE5E19">
            <w:pPr>
              <w:ind w:left="72"/>
              <w:contextualSpacing/>
              <w:rPr>
                <w:color w:val="000000"/>
                <w:sz w:val="22"/>
                <w:lang w:val="en-PH"/>
              </w:rPr>
            </w:pPr>
            <w:r w:rsidRPr="00780E04">
              <w:rPr>
                <w:color w:val="000000"/>
                <w:sz w:val="22"/>
                <w:lang w:val="en-PH"/>
              </w:rPr>
              <w:t>Special Disbursing Officer</w:t>
            </w:r>
          </w:p>
        </w:tc>
        <w:tc>
          <w:tcPr>
            <w:tcW w:w="1841" w:type="dxa"/>
            <w:shd w:val="clear" w:color="auto" w:fill="auto"/>
            <w:noWrap/>
            <w:vAlign w:val="bottom"/>
          </w:tcPr>
          <w:p w:rsidR="003D5279" w:rsidRPr="00780E04" w:rsidRDefault="003D5279" w:rsidP="00A010EE">
            <w:pPr>
              <w:contextualSpacing/>
              <w:jc w:val="right"/>
              <w:rPr>
                <w:color w:val="000000"/>
                <w:sz w:val="22"/>
                <w:lang w:val="en-PH"/>
              </w:rPr>
            </w:pPr>
            <w:r w:rsidRPr="00780E04">
              <w:rPr>
                <w:color w:val="000000"/>
                <w:sz w:val="22"/>
                <w:lang w:val="en-PH"/>
              </w:rPr>
              <w:t>8,471,489.60</w:t>
            </w:r>
          </w:p>
        </w:tc>
        <w:tc>
          <w:tcPr>
            <w:tcW w:w="859" w:type="dxa"/>
            <w:shd w:val="clear" w:color="auto" w:fill="auto"/>
            <w:noWrap/>
            <w:vAlign w:val="bottom"/>
            <w:hideMark/>
          </w:tcPr>
          <w:p w:rsidR="003D5279" w:rsidRPr="00780E04" w:rsidRDefault="003D5279" w:rsidP="00A010EE">
            <w:pPr>
              <w:contextualSpacing/>
              <w:jc w:val="right"/>
              <w:rPr>
                <w:color w:val="000000"/>
                <w:sz w:val="22"/>
                <w:lang w:val="en-PH"/>
              </w:rPr>
            </w:pPr>
            <w:r w:rsidRPr="00780E04">
              <w:rPr>
                <w:color w:val="000000"/>
                <w:sz w:val="22"/>
                <w:lang w:val="en-PH"/>
              </w:rPr>
              <w:t>5,552,548.56</w:t>
            </w:r>
          </w:p>
        </w:tc>
      </w:tr>
      <w:tr w:rsidR="003D5279" w:rsidRPr="00780E04" w:rsidTr="00780E04">
        <w:trPr>
          <w:trHeight w:val="144"/>
        </w:trPr>
        <w:tc>
          <w:tcPr>
            <w:tcW w:w="4680" w:type="dxa"/>
            <w:shd w:val="clear" w:color="auto" w:fill="auto"/>
            <w:noWrap/>
            <w:vAlign w:val="center"/>
            <w:hideMark/>
          </w:tcPr>
          <w:p w:rsidR="003D5279" w:rsidRPr="00780E04" w:rsidRDefault="003D5279" w:rsidP="00FE5E19">
            <w:pPr>
              <w:ind w:left="72"/>
              <w:contextualSpacing/>
              <w:rPr>
                <w:color w:val="000000"/>
                <w:sz w:val="22"/>
                <w:lang w:val="en-PH"/>
              </w:rPr>
            </w:pPr>
            <w:r w:rsidRPr="00780E04">
              <w:rPr>
                <w:color w:val="000000"/>
                <w:sz w:val="22"/>
                <w:lang w:val="en-PH"/>
              </w:rPr>
              <w:t>Officers and Employees</w:t>
            </w:r>
          </w:p>
        </w:tc>
        <w:tc>
          <w:tcPr>
            <w:tcW w:w="1841" w:type="dxa"/>
            <w:shd w:val="clear" w:color="auto" w:fill="auto"/>
            <w:noWrap/>
            <w:vAlign w:val="bottom"/>
          </w:tcPr>
          <w:p w:rsidR="003D5279" w:rsidRPr="00780E04" w:rsidRDefault="003D5279" w:rsidP="00A010EE">
            <w:pPr>
              <w:contextualSpacing/>
              <w:jc w:val="right"/>
              <w:rPr>
                <w:color w:val="000000"/>
                <w:sz w:val="22"/>
                <w:lang w:val="en-PH"/>
              </w:rPr>
            </w:pPr>
            <w:r w:rsidRPr="00780E04">
              <w:rPr>
                <w:color w:val="000000"/>
                <w:sz w:val="22"/>
                <w:lang w:val="en-PH"/>
              </w:rPr>
              <w:t>1,980,981.56</w:t>
            </w:r>
          </w:p>
        </w:tc>
        <w:tc>
          <w:tcPr>
            <w:tcW w:w="859" w:type="dxa"/>
            <w:shd w:val="clear" w:color="auto" w:fill="auto"/>
            <w:noWrap/>
            <w:vAlign w:val="bottom"/>
            <w:hideMark/>
          </w:tcPr>
          <w:p w:rsidR="003D5279" w:rsidRPr="00780E04" w:rsidRDefault="003D5279" w:rsidP="00A010EE">
            <w:pPr>
              <w:contextualSpacing/>
              <w:jc w:val="right"/>
              <w:rPr>
                <w:color w:val="000000"/>
                <w:sz w:val="22"/>
                <w:lang w:val="en-PH"/>
              </w:rPr>
            </w:pPr>
            <w:r w:rsidRPr="00780E04">
              <w:rPr>
                <w:color w:val="000000"/>
                <w:sz w:val="22"/>
                <w:lang w:val="en-PH"/>
              </w:rPr>
              <w:t>2,180,240.35</w:t>
            </w:r>
          </w:p>
        </w:tc>
      </w:tr>
      <w:tr w:rsidR="003D5279" w:rsidRPr="00780E04" w:rsidTr="00780E04">
        <w:trPr>
          <w:trHeight w:val="144"/>
        </w:trPr>
        <w:tc>
          <w:tcPr>
            <w:tcW w:w="4680" w:type="dxa"/>
            <w:shd w:val="clear" w:color="auto" w:fill="auto"/>
            <w:noWrap/>
            <w:vAlign w:val="center"/>
            <w:hideMark/>
          </w:tcPr>
          <w:p w:rsidR="003D5279" w:rsidRPr="00780E04" w:rsidRDefault="003D5279" w:rsidP="00991002">
            <w:pPr>
              <w:ind w:left="72"/>
              <w:contextualSpacing/>
              <w:rPr>
                <w:b/>
                <w:bCs/>
                <w:color w:val="000000"/>
                <w:sz w:val="22"/>
                <w:lang w:val="en-PH"/>
              </w:rPr>
            </w:pPr>
            <w:r w:rsidRPr="00780E04">
              <w:rPr>
                <w:b/>
                <w:bCs/>
                <w:color w:val="000000"/>
                <w:sz w:val="22"/>
                <w:lang w:val="en-PH"/>
              </w:rPr>
              <w:t xml:space="preserve">Total </w:t>
            </w:r>
          </w:p>
        </w:tc>
        <w:tc>
          <w:tcPr>
            <w:tcW w:w="1841" w:type="dxa"/>
            <w:shd w:val="clear" w:color="auto" w:fill="auto"/>
            <w:noWrap/>
            <w:vAlign w:val="bottom"/>
          </w:tcPr>
          <w:p w:rsidR="003D5279" w:rsidRPr="00780E04" w:rsidRDefault="003D5279" w:rsidP="00A010EE">
            <w:pPr>
              <w:contextualSpacing/>
              <w:jc w:val="right"/>
              <w:rPr>
                <w:b/>
                <w:color w:val="000000"/>
                <w:sz w:val="22"/>
                <w:lang w:val="en-PH"/>
              </w:rPr>
            </w:pPr>
            <w:r w:rsidRPr="00780E04">
              <w:rPr>
                <w:b/>
                <w:color w:val="000000"/>
                <w:sz w:val="22"/>
                <w:lang w:val="en-PH"/>
              </w:rPr>
              <w:t>89,896,026.31</w:t>
            </w:r>
          </w:p>
        </w:tc>
        <w:tc>
          <w:tcPr>
            <w:tcW w:w="859" w:type="dxa"/>
            <w:shd w:val="clear" w:color="auto" w:fill="auto"/>
            <w:noWrap/>
            <w:vAlign w:val="bottom"/>
            <w:hideMark/>
          </w:tcPr>
          <w:p w:rsidR="003D5279" w:rsidRPr="00780E04" w:rsidRDefault="003D5279" w:rsidP="00A010EE">
            <w:pPr>
              <w:contextualSpacing/>
              <w:jc w:val="right"/>
              <w:rPr>
                <w:b/>
                <w:color w:val="000000"/>
                <w:sz w:val="22"/>
                <w:lang w:val="en-PH"/>
              </w:rPr>
            </w:pPr>
            <w:r w:rsidRPr="00780E04">
              <w:rPr>
                <w:b/>
                <w:color w:val="000000"/>
                <w:sz w:val="22"/>
                <w:lang w:val="en-PH"/>
              </w:rPr>
              <w:t>85,273,608.07</w:t>
            </w:r>
          </w:p>
        </w:tc>
      </w:tr>
    </w:tbl>
    <w:p w:rsidR="009669C6" w:rsidRDefault="009669C6" w:rsidP="00124F98">
      <w:pPr>
        <w:rPr>
          <w:b/>
          <w:sz w:val="24"/>
          <w:szCs w:val="24"/>
        </w:rPr>
      </w:pPr>
    </w:p>
    <w:p w:rsidR="00215DA2" w:rsidRDefault="00215DA2" w:rsidP="00A010EE">
      <w:pPr>
        <w:pStyle w:val="BodyTextIndent"/>
        <w:numPr>
          <w:ilvl w:val="0"/>
          <w:numId w:val="18"/>
        </w:numPr>
        <w:ind w:left="426" w:hanging="426"/>
        <w:rPr>
          <w:b/>
          <w:szCs w:val="24"/>
        </w:rPr>
      </w:pPr>
      <w:r w:rsidRPr="00215DA2">
        <w:rPr>
          <w:b/>
          <w:szCs w:val="24"/>
        </w:rPr>
        <w:t>Prepayments</w:t>
      </w:r>
    </w:p>
    <w:p w:rsidR="005E4AE0" w:rsidRDefault="005E4AE0" w:rsidP="00124F98">
      <w:pPr>
        <w:ind w:firstLine="360"/>
        <w:rPr>
          <w:sz w:val="24"/>
        </w:rPr>
      </w:pPr>
    </w:p>
    <w:p w:rsidR="00916EF5" w:rsidRDefault="00273177" w:rsidP="00A010EE">
      <w:pPr>
        <w:ind w:left="426"/>
        <w:rPr>
          <w:b/>
          <w:sz w:val="24"/>
          <w:szCs w:val="24"/>
        </w:rPr>
      </w:pPr>
      <w:r>
        <w:rPr>
          <w:sz w:val="24"/>
        </w:rPr>
        <w:t>T</w:t>
      </w:r>
      <w:r w:rsidR="00916EF5">
        <w:rPr>
          <w:sz w:val="24"/>
        </w:rPr>
        <w:t>his account is broken down as follows</w:t>
      </w:r>
      <w:r w:rsidR="005E4AE0">
        <w:rPr>
          <w:sz w:val="24"/>
        </w:rPr>
        <w:t>:</w:t>
      </w:r>
    </w:p>
    <w:p w:rsidR="00215DA2" w:rsidRPr="00D47726" w:rsidRDefault="00215DA2" w:rsidP="00124F98">
      <w:pPr>
        <w:ind w:left="720"/>
        <w:rPr>
          <w:b/>
        </w:rPr>
      </w:pPr>
    </w:p>
    <w:tbl>
      <w:tblPr>
        <w:tblW w:w="829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81"/>
        <w:gridCol w:w="1417"/>
        <w:gridCol w:w="1400"/>
      </w:tblGrid>
      <w:tr w:rsidR="00FE5E19" w:rsidRPr="00780E04" w:rsidTr="00A010EE">
        <w:trPr>
          <w:trHeight w:val="144"/>
        </w:trPr>
        <w:tc>
          <w:tcPr>
            <w:tcW w:w="5481" w:type="dxa"/>
            <w:shd w:val="clear" w:color="auto" w:fill="auto"/>
            <w:noWrap/>
            <w:vAlign w:val="center"/>
            <w:hideMark/>
          </w:tcPr>
          <w:p w:rsidR="00FE5E19" w:rsidRPr="00780E04" w:rsidRDefault="003C4E70" w:rsidP="00124F98">
            <w:pPr>
              <w:jc w:val="center"/>
              <w:rPr>
                <w:b/>
                <w:bCs/>
                <w:color w:val="000000"/>
                <w:sz w:val="22"/>
                <w:lang w:val="en-PH"/>
              </w:rPr>
            </w:pPr>
            <w:r w:rsidRPr="009669C6">
              <w:rPr>
                <w:b/>
                <w:bCs/>
                <w:color w:val="000000"/>
                <w:sz w:val="22"/>
                <w:lang w:val="en-PH"/>
              </w:rPr>
              <w:t>Particulars</w:t>
            </w:r>
          </w:p>
        </w:tc>
        <w:tc>
          <w:tcPr>
            <w:tcW w:w="1417" w:type="dxa"/>
            <w:shd w:val="clear" w:color="auto" w:fill="auto"/>
            <w:noWrap/>
            <w:vAlign w:val="bottom"/>
            <w:hideMark/>
          </w:tcPr>
          <w:p w:rsidR="00FE5E19" w:rsidRPr="00780E04" w:rsidRDefault="00FE5E19" w:rsidP="00124F98">
            <w:pPr>
              <w:jc w:val="center"/>
              <w:rPr>
                <w:b/>
                <w:bCs/>
                <w:color w:val="000000"/>
                <w:sz w:val="22"/>
                <w:lang w:val="en-PH"/>
              </w:rPr>
            </w:pPr>
            <w:r w:rsidRPr="00780E04">
              <w:rPr>
                <w:b/>
                <w:bCs/>
                <w:color w:val="000000"/>
                <w:sz w:val="22"/>
                <w:lang w:val="en-PH"/>
              </w:rPr>
              <w:t>2016</w:t>
            </w:r>
          </w:p>
        </w:tc>
        <w:tc>
          <w:tcPr>
            <w:tcW w:w="1400" w:type="dxa"/>
            <w:shd w:val="clear" w:color="auto" w:fill="auto"/>
            <w:noWrap/>
            <w:vAlign w:val="bottom"/>
            <w:hideMark/>
          </w:tcPr>
          <w:p w:rsidR="00FE5E19" w:rsidRPr="00780E04" w:rsidRDefault="00FE5E19" w:rsidP="00124F98">
            <w:pPr>
              <w:jc w:val="center"/>
              <w:rPr>
                <w:b/>
                <w:bCs/>
                <w:color w:val="000000"/>
                <w:sz w:val="22"/>
                <w:lang w:val="en-PH"/>
              </w:rPr>
            </w:pPr>
            <w:r w:rsidRPr="00780E04">
              <w:rPr>
                <w:b/>
                <w:bCs/>
                <w:color w:val="000000"/>
                <w:sz w:val="22"/>
                <w:lang w:val="en-PH"/>
              </w:rPr>
              <w:t>2015</w:t>
            </w:r>
          </w:p>
        </w:tc>
      </w:tr>
      <w:tr w:rsidR="00FE5E19" w:rsidRPr="00780E04" w:rsidTr="00A010EE">
        <w:trPr>
          <w:trHeight w:val="144"/>
        </w:trPr>
        <w:tc>
          <w:tcPr>
            <w:tcW w:w="5481" w:type="dxa"/>
            <w:shd w:val="clear" w:color="auto" w:fill="auto"/>
            <w:noWrap/>
            <w:vAlign w:val="center"/>
            <w:hideMark/>
          </w:tcPr>
          <w:p w:rsidR="00FE5E19" w:rsidRPr="00780E04" w:rsidRDefault="00FE5E19" w:rsidP="00AB232B">
            <w:pPr>
              <w:rPr>
                <w:color w:val="000000"/>
                <w:sz w:val="22"/>
                <w:lang w:val="en-PH"/>
              </w:rPr>
            </w:pPr>
            <w:r w:rsidRPr="00780E04">
              <w:rPr>
                <w:color w:val="000000"/>
                <w:sz w:val="22"/>
                <w:lang w:val="en-PH"/>
              </w:rPr>
              <w:t>Motor vehicles</w:t>
            </w:r>
          </w:p>
        </w:tc>
        <w:tc>
          <w:tcPr>
            <w:tcW w:w="1417"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3,203,310.27</w:t>
            </w:r>
          </w:p>
        </w:tc>
        <w:tc>
          <w:tcPr>
            <w:tcW w:w="1400"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465,183.18</w:t>
            </w:r>
          </w:p>
        </w:tc>
      </w:tr>
      <w:tr w:rsidR="00FE5E19" w:rsidRPr="00780E04" w:rsidTr="00A010EE">
        <w:trPr>
          <w:trHeight w:val="144"/>
        </w:trPr>
        <w:tc>
          <w:tcPr>
            <w:tcW w:w="5481" w:type="dxa"/>
            <w:shd w:val="clear" w:color="auto" w:fill="auto"/>
            <w:noWrap/>
            <w:vAlign w:val="center"/>
            <w:hideMark/>
          </w:tcPr>
          <w:p w:rsidR="00FE5E19" w:rsidRPr="00780E04" w:rsidRDefault="00FE5E19" w:rsidP="00124F98">
            <w:pPr>
              <w:rPr>
                <w:color w:val="000000"/>
                <w:sz w:val="22"/>
                <w:lang w:val="en-PH"/>
              </w:rPr>
            </w:pPr>
            <w:r w:rsidRPr="00780E04">
              <w:rPr>
                <w:color w:val="000000"/>
                <w:sz w:val="22"/>
                <w:lang w:val="en-PH"/>
              </w:rPr>
              <w:t>Other properties and equipment</w:t>
            </w:r>
          </w:p>
        </w:tc>
        <w:tc>
          <w:tcPr>
            <w:tcW w:w="1417"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604,816.27</w:t>
            </w:r>
          </w:p>
        </w:tc>
        <w:tc>
          <w:tcPr>
            <w:tcW w:w="1400"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2,949,639.80</w:t>
            </w:r>
          </w:p>
        </w:tc>
      </w:tr>
      <w:tr w:rsidR="00FE5E19" w:rsidRPr="00780E04" w:rsidTr="00A010EE">
        <w:trPr>
          <w:trHeight w:val="144"/>
        </w:trPr>
        <w:tc>
          <w:tcPr>
            <w:tcW w:w="5481" w:type="dxa"/>
            <w:shd w:val="clear" w:color="auto" w:fill="auto"/>
            <w:noWrap/>
            <w:vAlign w:val="center"/>
            <w:hideMark/>
          </w:tcPr>
          <w:p w:rsidR="00FE5E19" w:rsidRPr="00780E04" w:rsidRDefault="00FE5E19" w:rsidP="00124F98">
            <w:pPr>
              <w:rPr>
                <w:color w:val="000000"/>
                <w:sz w:val="22"/>
                <w:lang w:val="en-PH"/>
              </w:rPr>
            </w:pPr>
            <w:r w:rsidRPr="00780E04">
              <w:rPr>
                <w:color w:val="000000"/>
                <w:sz w:val="22"/>
                <w:lang w:val="en-PH"/>
              </w:rPr>
              <w:t>Personal accident insurance for students, faculty and  staff</w:t>
            </w:r>
          </w:p>
        </w:tc>
        <w:tc>
          <w:tcPr>
            <w:tcW w:w="1417"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w:t>
            </w:r>
          </w:p>
        </w:tc>
        <w:tc>
          <w:tcPr>
            <w:tcW w:w="1400" w:type="dxa"/>
            <w:shd w:val="clear" w:color="auto" w:fill="auto"/>
            <w:noWrap/>
            <w:hideMark/>
          </w:tcPr>
          <w:p w:rsidR="00FE5E19" w:rsidRPr="00780E04" w:rsidRDefault="00FE5E19" w:rsidP="00955286">
            <w:pPr>
              <w:jc w:val="right"/>
              <w:rPr>
                <w:color w:val="000000"/>
                <w:sz w:val="22"/>
                <w:lang w:val="en-PH"/>
              </w:rPr>
            </w:pPr>
            <w:r w:rsidRPr="00780E04">
              <w:rPr>
                <w:color w:val="000000"/>
                <w:sz w:val="22"/>
                <w:lang w:val="en-PH"/>
              </w:rPr>
              <w:t>759,419.65</w:t>
            </w:r>
          </w:p>
        </w:tc>
      </w:tr>
      <w:tr w:rsidR="00FE5E19" w:rsidRPr="00780E04" w:rsidTr="00A010EE">
        <w:trPr>
          <w:trHeight w:val="144"/>
        </w:trPr>
        <w:tc>
          <w:tcPr>
            <w:tcW w:w="5481" w:type="dxa"/>
            <w:shd w:val="clear" w:color="auto" w:fill="auto"/>
            <w:noWrap/>
            <w:vAlign w:val="center"/>
            <w:hideMark/>
          </w:tcPr>
          <w:p w:rsidR="00FE5E19" w:rsidRPr="00780E04" w:rsidRDefault="00FE5E19" w:rsidP="00991002">
            <w:pPr>
              <w:rPr>
                <w:b/>
                <w:bCs/>
                <w:color w:val="000000"/>
                <w:sz w:val="22"/>
                <w:lang w:val="en-PH"/>
              </w:rPr>
            </w:pPr>
            <w:r w:rsidRPr="00780E04">
              <w:rPr>
                <w:b/>
                <w:bCs/>
                <w:color w:val="000000"/>
                <w:sz w:val="22"/>
                <w:lang w:val="en-PH"/>
              </w:rPr>
              <w:t xml:space="preserve">Total </w:t>
            </w:r>
          </w:p>
        </w:tc>
        <w:tc>
          <w:tcPr>
            <w:tcW w:w="1417" w:type="dxa"/>
            <w:shd w:val="clear" w:color="auto" w:fill="auto"/>
            <w:noWrap/>
            <w:vAlign w:val="center"/>
            <w:hideMark/>
          </w:tcPr>
          <w:p w:rsidR="00FE5E19" w:rsidRPr="00780E04" w:rsidRDefault="00FE5E19" w:rsidP="00F71963">
            <w:pPr>
              <w:jc w:val="right"/>
              <w:rPr>
                <w:b/>
                <w:color w:val="000000"/>
                <w:sz w:val="22"/>
                <w:lang w:val="en-PH"/>
              </w:rPr>
            </w:pPr>
            <w:r w:rsidRPr="00780E04">
              <w:rPr>
                <w:b/>
                <w:color w:val="000000"/>
                <w:sz w:val="22"/>
                <w:lang w:val="en-PH"/>
              </w:rPr>
              <w:t>3,808,126.54</w:t>
            </w:r>
          </w:p>
        </w:tc>
        <w:tc>
          <w:tcPr>
            <w:tcW w:w="1400" w:type="dxa"/>
            <w:shd w:val="clear" w:color="auto" w:fill="auto"/>
            <w:noWrap/>
            <w:vAlign w:val="center"/>
            <w:hideMark/>
          </w:tcPr>
          <w:p w:rsidR="00FE5E19" w:rsidRPr="00780E04" w:rsidRDefault="00FE5E19" w:rsidP="00F71963">
            <w:pPr>
              <w:jc w:val="right"/>
              <w:rPr>
                <w:color w:val="000000"/>
                <w:sz w:val="22"/>
                <w:lang w:val="en-PH"/>
              </w:rPr>
            </w:pPr>
            <w:r w:rsidRPr="00780E04">
              <w:rPr>
                <w:b/>
                <w:color w:val="000000"/>
                <w:sz w:val="22"/>
                <w:lang w:val="en-PH"/>
              </w:rPr>
              <w:t>4,174,242.63</w:t>
            </w:r>
          </w:p>
        </w:tc>
      </w:tr>
    </w:tbl>
    <w:p w:rsidR="00D47726" w:rsidRDefault="00D47726">
      <w:pPr>
        <w:rPr>
          <w:b/>
          <w:sz w:val="24"/>
          <w:szCs w:val="24"/>
        </w:rPr>
      </w:pPr>
      <w:r>
        <w:rPr>
          <w:b/>
          <w:sz w:val="24"/>
          <w:szCs w:val="24"/>
        </w:rPr>
        <w:br w:type="page"/>
      </w:r>
    </w:p>
    <w:p w:rsidR="00215DA2" w:rsidRDefault="00215DA2" w:rsidP="00D47726">
      <w:pPr>
        <w:pStyle w:val="BodyTextIndent"/>
        <w:numPr>
          <w:ilvl w:val="0"/>
          <w:numId w:val="18"/>
        </w:numPr>
        <w:ind w:left="426" w:hanging="426"/>
        <w:rPr>
          <w:b/>
          <w:szCs w:val="24"/>
        </w:rPr>
      </w:pPr>
      <w:r w:rsidRPr="00E96775">
        <w:rPr>
          <w:b/>
          <w:szCs w:val="24"/>
        </w:rPr>
        <w:lastRenderedPageBreak/>
        <w:t>Payment of Accounts Payable</w:t>
      </w:r>
    </w:p>
    <w:p w:rsidR="00187823" w:rsidRDefault="00187823" w:rsidP="00124F98">
      <w:pPr>
        <w:rPr>
          <w:b/>
          <w:sz w:val="24"/>
          <w:szCs w:val="24"/>
        </w:rPr>
      </w:pPr>
    </w:p>
    <w:p w:rsidR="007077B4" w:rsidRPr="007077B4" w:rsidRDefault="007077B4" w:rsidP="00D47726">
      <w:pPr>
        <w:ind w:left="426"/>
        <w:rPr>
          <w:sz w:val="24"/>
          <w:szCs w:val="24"/>
        </w:rPr>
      </w:pPr>
      <w:r w:rsidRPr="007077B4">
        <w:rPr>
          <w:sz w:val="24"/>
          <w:szCs w:val="24"/>
        </w:rPr>
        <w:t>The nature of th</w:t>
      </w:r>
      <w:r w:rsidR="00FE5E19">
        <w:rPr>
          <w:sz w:val="24"/>
          <w:szCs w:val="24"/>
        </w:rPr>
        <w:t>is</w:t>
      </w:r>
      <w:r w:rsidRPr="007077B4">
        <w:rPr>
          <w:sz w:val="24"/>
          <w:szCs w:val="24"/>
        </w:rPr>
        <w:t xml:space="preserve"> account is as follows:</w:t>
      </w:r>
    </w:p>
    <w:p w:rsidR="007077B4" w:rsidRPr="007077B4" w:rsidRDefault="007077B4" w:rsidP="00124F98">
      <w:pPr>
        <w:rPr>
          <w:sz w:val="24"/>
          <w:szCs w:val="24"/>
        </w:rPr>
      </w:pPr>
    </w:p>
    <w:tbl>
      <w:tblPr>
        <w:tblW w:w="830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34"/>
      </w:tblGrid>
      <w:tr w:rsidR="00FE5E19" w:rsidRPr="00780E04" w:rsidTr="00780E04">
        <w:trPr>
          <w:trHeight w:val="144"/>
        </w:trPr>
        <w:tc>
          <w:tcPr>
            <w:tcW w:w="4680" w:type="dxa"/>
            <w:shd w:val="clear" w:color="auto" w:fill="auto"/>
            <w:noWrap/>
            <w:vAlign w:val="center"/>
            <w:hideMark/>
          </w:tcPr>
          <w:p w:rsidR="00FE5E19" w:rsidRPr="00780E04" w:rsidRDefault="003C4E70" w:rsidP="00124F98">
            <w:pPr>
              <w:jc w:val="center"/>
              <w:rPr>
                <w:b/>
                <w:bCs/>
                <w:color w:val="000000"/>
                <w:sz w:val="22"/>
                <w:lang w:val="en-PH"/>
              </w:rPr>
            </w:pPr>
            <w:r w:rsidRPr="009669C6">
              <w:rPr>
                <w:b/>
                <w:bCs/>
                <w:color w:val="000000"/>
                <w:sz w:val="22"/>
                <w:lang w:val="en-PH"/>
              </w:rPr>
              <w:t>Particulars</w:t>
            </w:r>
          </w:p>
        </w:tc>
        <w:tc>
          <w:tcPr>
            <w:tcW w:w="1890" w:type="dxa"/>
            <w:shd w:val="clear" w:color="auto" w:fill="auto"/>
            <w:noWrap/>
            <w:vAlign w:val="bottom"/>
            <w:hideMark/>
          </w:tcPr>
          <w:p w:rsidR="00FE5E19" w:rsidRPr="00780E04" w:rsidRDefault="00FE5E19" w:rsidP="00124F98">
            <w:pPr>
              <w:jc w:val="center"/>
              <w:rPr>
                <w:b/>
                <w:bCs/>
                <w:color w:val="000000"/>
                <w:sz w:val="22"/>
                <w:lang w:val="en-PH"/>
              </w:rPr>
            </w:pPr>
            <w:r w:rsidRPr="00780E04">
              <w:rPr>
                <w:b/>
                <w:bCs/>
                <w:color w:val="000000"/>
                <w:sz w:val="22"/>
                <w:lang w:val="en-PH"/>
              </w:rPr>
              <w:t>2016</w:t>
            </w:r>
          </w:p>
        </w:tc>
        <w:tc>
          <w:tcPr>
            <w:tcW w:w="1734" w:type="dxa"/>
            <w:shd w:val="clear" w:color="auto" w:fill="auto"/>
            <w:noWrap/>
            <w:vAlign w:val="bottom"/>
            <w:hideMark/>
          </w:tcPr>
          <w:p w:rsidR="00FE5E19" w:rsidRPr="00780E04" w:rsidRDefault="00FE5E19" w:rsidP="00124F98">
            <w:pPr>
              <w:jc w:val="center"/>
              <w:rPr>
                <w:b/>
                <w:bCs/>
                <w:color w:val="000000"/>
                <w:sz w:val="22"/>
                <w:lang w:val="en-PH"/>
              </w:rPr>
            </w:pPr>
            <w:r w:rsidRPr="00780E04">
              <w:rPr>
                <w:b/>
                <w:bCs/>
                <w:color w:val="000000"/>
                <w:sz w:val="22"/>
                <w:lang w:val="en-PH"/>
              </w:rPr>
              <w:t>2015</w:t>
            </w:r>
          </w:p>
        </w:tc>
      </w:tr>
      <w:tr w:rsidR="00955286" w:rsidRPr="00780E04" w:rsidTr="00B254D6">
        <w:trPr>
          <w:trHeight w:val="144"/>
        </w:trPr>
        <w:tc>
          <w:tcPr>
            <w:tcW w:w="8304" w:type="dxa"/>
            <w:gridSpan w:val="3"/>
            <w:shd w:val="clear" w:color="auto" w:fill="auto"/>
            <w:noWrap/>
            <w:vAlign w:val="center"/>
            <w:hideMark/>
          </w:tcPr>
          <w:p w:rsidR="00955286" w:rsidRPr="00780E04" w:rsidRDefault="00955286" w:rsidP="00955286">
            <w:pPr>
              <w:rPr>
                <w:color w:val="000000"/>
                <w:sz w:val="22"/>
                <w:lang w:val="en-PH"/>
              </w:rPr>
            </w:pPr>
            <w:r w:rsidRPr="00955286">
              <w:rPr>
                <w:i/>
                <w:color w:val="000000"/>
                <w:sz w:val="22"/>
                <w:lang w:val="en-PH"/>
              </w:rPr>
              <w:t>Payment from Special Trust Fund:</w:t>
            </w:r>
          </w:p>
        </w:tc>
      </w:tr>
      <w:tr w:rsidR="00FE5E19" w:rsidRPr="00780E04" w:rsidTr="00780E04">
        <w:trPr>
          <w:trHeight w:val="144"/>
        </w:trPr>
        <w:tc>
          <w:tcPr>
            <w:tcW w:w="4680" w:type="dxa"/>
            <w:shd w:val="clear" w:color="auto" w:fill="auto"/>
            <w:noWrap/>
            <w:vAlign w:val="center"/>
            <w:hideMark/>
          </w:tcPr>
          <w:p w:rsidR="00FE5E19" w:rsidRPr="00780E04" w:rsidRDefault="00FE5E19" w:rsidP="00E90937">
            <w:pPr>
              <w:rPr>
                <w:color w:val="000000"/>
                <w:sz w:val="22"/>
                <w:lang w:val="en-PH"/>
              </w:rPr>
            </w:pPr>
            <w:r w:rsidRPr="00780E04">
              <w:rPr>
                <w:color w:val="000000"/>
                <w:sz w:val="22"/>
                <w:lang w:val="en-PH"/>
              </w:rPr>
              <w:t>Prior year's accounts payable (MOOE)</w:t>
            </w:r>
          </w:p>
        </w:tc>
        <w:tc>
          <w:tcPr>
            <w:tcW w:w="189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5,154,920.21</w:t>
            </w:r>
          </w:p>
        </w:tc>
        <w:tc>
          <w:tcPr>
            <w:tcW w:w="1734"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4,193,187.59</w:t>
            </w:r>
          </w:p>
        </w:tc>
      </w:tr>
      <w:tr w:rsidR="00955286" w:rsidRPr="00780E04" w:rsidTr="00B254D6">
        <w:trPr>
          <w:trHeight w:val="144"/>
        </w:trPr>
        <w:tc>
          <w:tcPr>
            <w:tcW w:w="8304" w:type="dxa"/>
            <w:gridSpan w:val="3"/>
            <w:shd w:val="clear" w:color="auto" w:fill="auto"/>
            <w:noWrap/>
            <w:vAlign w:val="center"/>
            <w:hideMark/>
          </w:tcPr>
          <w:p w:rsidR="00955286" w:rsidRPr="00780E04" w:rsidRDefault="00955286" w:rsidP="00955286">
            <w:pPr>
              <w:rPr>
                <w:color w:val="000000"/>
                <w:sz w:val="22"/>
                <w:lang w:val="en-PH"/>
              </w:rPr>
            </w:pPr>
            <w:r w:rsidRPr="00955286">
              <w:rPr>
                <w:i/>
                <w:color w:val="000000"/>
                <w:sz w:val="22"/>
                <w:lang w:val="en-PH"/>
              </w:rPr>
              <w:t>Payment from General Fund:</w:t>
            </w:r>
          </w:p>
        </w:tc>
      </w:tr>
      <w:tr w:rsidR="00FE5E19" w:rsidRPr="00780E04" w:rsidTr="00780E04">
        <w:trPr>
          <w:trHeight w:val="144"/>
        </w:trPr>
        <w:tc>
          <w:tcPr>
            <w:tcW w:w="4680" w:type="dxa"/>
            <w:shd w:val="clear" w:color="auto" w:fill="auto"/>
            <w:noWrap/>
            <w:vAlign w:val="center"/>
            <w:hideMark/>
          </w:tcPr>
          <w:p w:rsidR="00FE5E19" w:rsidRPr="00780E04" w:rsidRDefault="00FE5E19" w:rsidP="00E90937">
            <w:pPr>
              <w:rPr>
                <w:color w:val="000000"/>
                <w:sz w:val="22"/>
                <w:lang w:val="en-PH"/>
              </w:rPr>
            </w:pPr>
            <w:r w:rsidRPr="00780E04">
              <w:rPr>
                <w:color w:val="000000"/>
                <w:sz w:val="22"/>
                <w:lang w:val="en-PH"/>
              </w:rPr>
              <w:t>Prior year's accounts payable (CO)</w:t>
            </w:r>
          </w:p>
        </w:tc>
        <w:tc>
          <w:tcPr>
            <w:tcW w:w="189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242,711.10</w:t>
            </w:r>
          </w:p>
        </w:tc>
        <w:tc>
          <w:tcPr>
            <w:tcW w:w="1734"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5,485,244.09</w:t>
            </w:r>
          </w:p>
        </w:tc>
      </w:tr>
      <w:tr w:rsidR="00FE5E19" w:rsidRPr="00780E04" w:rsidTr="00780E04">
        <w:trPr>
          <w:trHeight w:val="144"/>
        </w:trPr>
        <w:tc>
          <w:tcPr>
            <w:tcW w:w="4680" w:type="dxa"/>
            <w:shd w:val="clear" w:color="auto" w:fill="auto"/>
            <w:noWrap/>
            <w:vAlign w:val="center"/>
            <w:hideMark/>
          </w:tcPr>
          <w:p w:rsidR="00FE5E19" w:rsidRPr="00780E04" w:rsidRDefault="00FE5E19" w:rsidP="00E90937">
            <w:pPr>
              <w:rPr>
                <w:color w:val="000000"/>
                <w:sz w:val="22"/>
                <w:lang w:val="en-PH"/>
              </w:rPr>
            </w:pPr>
            <w:r w:rsidRPr="00780E04">
              <w:rPr>
                <w:color w:val="000000"/>
                <w:sz w:val="22"/>
                <w:lang w:val="en-PH"/>
              </w:rPr>
              <w:t>Prior year's due to officers and employees (PS/MOOE)</w:t>
            </w:r>
          </w:p>
        </w:tc>
        <w:tc>
          <w:tcPr>
            <w:tcW w:w="1890"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w:t>
            </w:r>
          </w:p>
        </w:tc>
        <w:tc>
          <w:tcPr>
            <w:tcW w:w="1734" w:type="dxa"/>
            <w:shd w:val="clear" w:color="auto" w:fill="auto"/>
            <w:noWrap/>
            <w:hideMark/>
          </w:tcPr>
          <w:p w:rsidR="00FE5E19" w:rsidRPr="00780E04" w:rsidRDefault="00FE5E19" w:rsidP="00780E04">
            <w:pPr>
              <w:jc w:val="right"/>
              <w:rPr>
                <w:color w:val="000000"/>
                <w:sz w:val="22"/>
                <w:lang w:val="en-PH"/>
              </w:rPr>
            </w:pPr>
            <w:r w:rsidRPr="00780E04">
              <w:rPr>
                <w:color w:val="000000"/>
                <w:sz w:val="22"/>
                <w:lang w:val="en-PH"/>
              </w:rPr>
              <w:t>-</w:t>
            </w:r>
          </w:p>
        </w:tc>
      </w:tr>
      <w:tr w:rsidR="00FE5E19" w:rsidRPr="00780E04" w:rsidTr="00780E04">
        <w:trPr>
          <w:trHeight w:val="144"/>
        </w:trPr>
        <w:tc>
          <w:tcPr>
            <w:tcW w:w="4680" w:type="dxa"/>
            <w:shd w:val="clear" w:color="auto" w:fill="auto"/>
            <w:noWrap/>
            <w:vAlign w:val="center"/>
            <w:hideMark/>
          </w:tcPr>
          <w:p w:rsidR="00FE5E19" w:rsidRPr="00780E04" w:rsidRDefault="00955286" w:rsidP="00955286">
            <w:pPr>
              <w:rPr>
                <w:b/>
                <w:bCs/>
                <w:color w:val="000000"/>
                <w:sz w:val="22"/>
                <w:lang w:val="en-PH"/>
              </w:rPr>
            </w:pPr>
            <w:r>
              <w:rPr>
                <w:b/>
                <w:bCs/>
                <w:color w:val="000000"/>
                <w:sz w:val="22"/>
                <w:lang w:val="en-PH"/>
              </w:rPr>
              <w:t xml:space="preserve">Total </w:t>
            </w:r>
          </w:p>
        </w:tc>
        <w:tc>
          <w:tcPr>
            <w:tcW w:w="1890" w:type="dxa"/>
            <w:shd w:val="clear" w:color="auto" w:fill="auto"/>
            <w:noWrap/>
            <w:vAlign w:val="center"/>
            <w:hideMark/>
          </w:tcPr>
          <w:p w:rsidR="00FE5E19" w:rsidRPr="00780E04" w:rsidRDefault="00FE5E19" w:rsidP="00E90937">
            <w:pPr>
              <w:jc w:val="right"/>
              <w:rPr>
                <w:b/>
                <w:color w:val="000000"/>
                <w:sz w:val="22"/>
                <w:lang w:val="en-PH"/>
              </w:rPr>
            </w:pPr>
            <w:r w:rsidRPr="00780E04">
              <w:rPr>
                <w:b/>
                <w:color w:val="000000"/>
                <w:sz w:val="22"/>
                <w:lang w:val="en-PH"/>
              </w:rPr>
              <w:t>5,397,631.31</w:t>
            </w:r>
          </w:p>
        </w:tc>
        <w:tc>
          <w:tcPr>
            <w:tcW w:w="1734" w:type="dxa"/>
            <w:shd w:val="clear" w:color="auto" w:fill="auto"/>
            <w:noWrap/>
            <w:vAlign w:val="center"/>
            <w:hideMark/>
          </w:tcPr>
          <w:p w:rsidR="00FE5E19" w:rsidRPr="00780E04" w:rsidRDefault="00FE5E19" w:rsidP="00E90937">
            <w:pPr>
              <w:jc w:val="right"/>
              <w:rPr>
                <w:b/>
                <w:color w:val="000000"/>
                <w:sz w:val="22"/>
                <w:lang w:val="en-PH"/>
              </w:rPr>
            </w:pPr>
            <w:r w:rsidRPr="00780E04">
              <w:rPr>
                <w:b/>
                <w:color w:val="000000"/>
                <w:sz w:val="22"/>
                <w:lang w:val="en-PH"/>
              </w:rPr>
              <w:t>9,678,431.68</w:t>
            </w:r>
          </w:p>
        </w:tc>
      </w:tr>
    </w:tbl>
    <w:p w:rsidR="00671457" w:rsidRDefault="00671457" w:rsidP="00124F98">
      <w:pPr>
        <w:rPr>
          <w:b/>
          <w:sz w:val="24"/>
          <w:szCs w:val="24"/>
        </w:rPr>
      </w:pPr>
    </w:p>
    <w:p w:rsidR="00916EF5" w:rsidRDefault="00215DA2" w:rsidP="00D47726">
      <w:pPr>
        <w:pStyle w:val="BodyTextIndent"/>
        <w:numPr>
          <w:ilvl w:val="0"/>
          <w:numId w:val="18"/>
        </w:numPr>
        <w:ind w:left="426" w:hanging="426"/>
        <w:rPr>
          <w:b/>
          <w:szCs w:val="24"/>
        </w:rPr>
      </w:pPr>
      <w:r w:rsidRPr="004C5450">
        <w:rPr>
          <w:b/>
          <w:szCs w:val="24"/>
        </w:rPr>
        <w:t>Remittance of Personnel Benefit Contributions and Mandatory Deductions</w:t>
      </w:r>
    </w:p>
    <w:p w:rsidR="0089281A" w:rsidRDefault="0089281A" w:rsidP="0089281A">
      <w:pPr>
        <w:tabs>
          <w:tab w:val="left" w:pos="-5310"/>
        </w:tabs>
        <w:jc w:val="both"/>
        <w:rPr>
          <w:b/>
          <w:sz w:val="24"/>
          <w:szCs w:val="24"/>
        </w:rPr>
      </w:pPr>
    </w:p>
    <w:p w:rsidR="00916EF5" w:rsidRDefault="00916EF5" w:rsidP="00D47726">
      <w:pPr>
        <w:tabs>
          <w:tab w:val="left" w:pos="-5310"/>
        </w:tabs>
        <w:ind w:left="426"/>
        <w:jc w:val="both"/>
        <w:rPr>
          <w:bCs/>
          <w:color w:val="000000"/>
          <w:sz w:val="24"/>
          <w:szCs w:val="24"/>
        </w:rPr>
      </w:pPr>
      <w:r>
        <w:rPr>
          <w:bCs/>
          <w:color w:val="000000"/>
          <w:sz w:val="24"/>
          <w:szCs w:val="24"/>
        </w:rPr>
        <w:t>The account refers to the total monthly remittances of GSIS/</w:t>
      </w:r>
      <w:proofErr w:type="spellStart"/>
      <w:r>
        <w:rPr>
          <w:bCs/>
          <w:color w:val="000000"/>
          <w:sz w:val="24"/>
          <w:szCs w:val="24"/>
        </w:rPr>
        <w:t>Pag</w:t>
      </w:r>
      <w:proofErr w:type="spellEnd"/>
      <w:r w:rsidR="00955286">
        <w:rPr>
          <w:bCs/>
          <w:color w:val="000000"/>
          <w:sz w:val="24"/>
          <w:szCs w:val="24"/>
        </w:rPr>
        <w:t>-IBIG</w:t>
      </w:r>
      <w:r w:rsidR="00D47726">
        <w:rPr>
          <w:bCs/>
          <w:color w:val="000000"/>
          <w:sz w:val="24"/>
          <w:szCs w:val="24"/>
        </w:rPr>
        <w:t>/</w:t>
      </w:r>
      <w:proofErr w:type="spellStart"/>
      <w:r w:rsidR="00D47726">
        <w:rPr>
          <w:bCs/>
          <w:color w:val="000000"/>
          <w:sz w:val="24"/>
          <w:szCs w:val="24"/>
        </w:rPr>
        <w:t>PhilHealth</w:t>
      </w:r>
      <w:proofErr w:type="spellEnd"/>
      <w:r w:rsidR="00D47726">
        <w:rPr>
          <w:bCs/>
          <w:color w:val="000000"/>
          <w:sz w:val="24"/>
          <w:szCs w:val="24"/>
        </w:rPr>
        <w:t xml:space="preserve"> and other </w:t>
      </w:r>
      <w:r>
        <w:rPr>
          <w:bCs/>
          <w:color w:val="000000"/>
          <w:sz w:val="24"/>
          <w:szCs w:val="24"/>
        </w:rPr>
        <w:t>payables broken down as follows:</w:t>
      </w:r>
    </w:p>
    <w:p w:rsidR="00916EF5" w:rsidRDefault="00916EF5" w:rsidP="00124F98">
      <w:pPr>
        <w:rPr>
          <w:b/>
          <w:sz w:val="24"/>
          <w:szCs w:val="24"/>
        </w:rPr>
      </w:pPr>
    </w:p>
    <w:tbl>
      <w:tblPr>
        <w:tblW w:w="8298"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28"/>
      </w:tblGrid>
      <w:tr w:rsidR="00862276" w:rsidRPr="00780E04" w:rsidTr="00780E04">
        <w:trPr>
          <w:trHeight w:val="144"/>
          <w:tblHeader/>
        </w:trPr>
        <w:tc>
          <w:tcPr>
            <w:tcW w:w="4680" w:type="dxa"/>
            <w:shd w:val="clear" w:color="auto" w:fill="auto"/>
            <w:noWrap/>
            <w:vAlign w:val="center"/>
            <w:hideMark/>
          </w:tcPr>
          <w:p w:rsidR="00862276" w:rsidRPr="00780E04" w:rsidRDefault="00862276" w:rsidP="00124F98">
            <w:pPr>
              <w:jc w:val="center"/>
              <w:rPr>
                <w:b/>
                <w:bCs/>
                <w:color w:val="000000"/>
                <w:sz w:val="22"/>
                <w:lang w:val="en-PH"/>
              </w:rPr>
            </w:pPr>
            <w:r w:rsidRPr="00780E04">
              <w:rPr>
                <w:b/>
                <w:bCs/>
                <w:color w:val="000000"/>
                <w:sz w:val="22"/>
                <w:lang w:val="en-PH"/>
              </w:rPr>
              <w:t>Particulars</w:t>
            </w:r>
          </w:p>
        </w:tc>
        <w:tc>
          <w:tcPr>
            <w:tcW w:w="1890" w:type="dxa"/>
            <w:shd w:val="clear" w:color="auto" w:fill="auto"/>
            <w:noWrap/>
            <w:vAlign w:val="bottom"/>
            <w:hideMark/>
          </w:tcPr>
          <w:p w:rsidR="00862276" w:rsidRPr="00780E04" w:rsidRDefault="00862276" w:rsidP="00124F98">
            <w:pPr>
              <w:jc w:val="center"/>
              <w:rPr>
                <w:b/>
                <w:bCs/>
                <w:color w:val="000000"/>
                <w:sz w:val="22"/>
                <w:lang w:val="en-PH"/>
              </w:rPr>
            </w:pPr>
            <w:r w:rsidRPr="00780E04">
              <w:rPr>
                <w:b/>
                <w:bCs/>
                <w:color w:val="000000"/>
                <w:sz w:val="22"/>
                <w:lang w:val="en-PH"/>
              </w:rPr>
              <w:t>2016</w:t>
            </w:r>
          </w:p>
        </w:tc>
        <w:tc>
          <w:tcPr>
            <w:tcW w:w="1728" w:type="dxa"/>
            <w:shd w:val="clear" w:color="auto" w:fill="auto"/>
            <w:noWrap/>
            <w:vAlign w:val="bottom"/>
            <w:hideMark/>
          </w:tcPr>
          <w:p w:rsidR="00862276" w:rsidRPr="00780E04" w:rsidRDefault="00862276" w:rsidP="00124F98">
            <w:pPr>
              <w:jc w:val="center"/>
              <w:rPr>
                <w:b/>
                <w:bCs/>
                <w:color w:val="000000"/>
                <w:sz w:val="22"/>
                <w:lang w:val="en-PH"/>
              </w:rPr>
            </w:pPr>
            <w:r w:rsidRPr="00780E04">
              <w:rPr>
                <w:b/>
                <w:bCs/>
                <w:color w:val="000000"/>
                <w:sz w:val="22"/>
                <w:lang w:val="en-PH"/>
              </w:rPr>
              <w:t>2015</w:t>
            </w:r>
          </w:p>
        </w:tc>
      </w:tr>
      <w:tr w:rsidR="00862276" w:rsidRPr="00780E04" w:rsidTr="00780E04">
        <w:trPr>
          <w:trHeight w:val="144"/>
        </w:trPr>
        <w:tc>
          <w:tcPr>
            <w:tcW w:w="4680" w:type="dxa"/>
            <w:shd w:val="clear" w:color="auto" w:fill="auto"/>
            <w:noWrap/>
            <w:vAlign w:val="center"/>
            <w:hideMark/>
          </w:tcPr>
          <w:p w:rsidR="00862276" w:rsidRPr="00780E04" w:rsidRDefault="00862276" w:rsidP="00124F98">
            <w:pPr>
              <w:rPr>
                <w:color w:val="000000"/>
                <w:sz w:val="22"/>
                <w:lang w:val="en-PH"/>
              </w:rPr>
            </w:pPr>
            <w:r w:rsidRPr="00780E04">
              <w:rPr>
                <w:color w:val="000000"/>
                <w:sz w:val="22"/>
                <w:lang w:val="en-PH"/>
              </w:rPr>
              <w:t>Remittance of taxes withheld not covered by TRA</w:t>
            </w:r>
          </w:p>
        </w:tc>
        <w:tc>
          <w:tcPr>
            <w:tcW w:w="1890" w:type="dxa"/>
            <w:shd w:val="clear" w:color="auto" w:fill="auto"/>
            <w:noWrap/>
            <w:hideMark/>
          </w:tcPr>
          <w:p w:rsidR="00862276" w:rsidRPr="00780E04" w:rsidRDefault="00862276" w:rsidP="00780E04">
            <w:pPr>
              <w:jc w:val="right"/>
              <w:rPr>
                <w:color w:val="000000"/>
                <w:sz w:val="22"/>
                <w:lang w:val="en-PH"/>
              </w:rPr>
            </w:pPr>
            <w:r w:rsidRPr="00780E04">
              <w:rPr>
                <w:color w:val="000000"/>
                <w:sz w:val="22"/>
                <w:lang w:val="en-PH"/>
              </w:rPr>
              <w:t>5,235,699.61</w:t>
            </w:r>
          </w:p>
        </w:tc>
        <w:tc>
          <w:tcPr>
            <w:tcW w:w="1728" w:type="dxa"/>
            <w:shd w:val="clear" w:color="auto" w:fill="auto"/>
            <w:noWrap/>
          </w:tcPr>
          <w:p w:rsidR="00862276" w:rsidRPr="00780E04" w:rsidRDefault="00862276" w:rsidP="00780E04">
            <w:pPr>
              <w:jc w:val="right"/>
              <w:rPr>
                <w:color w:val="000000"/>
                <w:sz w:val="22"/>
                <w:lang w:val="en-PH"/>
              </w:rPr>
            </w:pPr>
            <w:r w:rsidRPr="00780E04">
              <w:rPr>
                <w:color w:val="000000"/>
                <w:sz w:val="22"/>
                <w:lang w:val="en-PH"/>
              </w:rPr>
              <w:t>5,695,775.47</w:t>
            </w:r>
          </w:p>
        </w:tc>
      </w:tr>
      <w:tr w:rsidR="00862276" w:rsidRPr="00780E04" w:rsidTr="00780E04">
        <w:trPr>
          <w:trHeight w:val="144"/>
        </w:trPr>
        <w:tc>
          <w:tcPr>
            <w:tcW w:w="4680" w:type="dxa"/>
            <w:shd w:val="clear" w:color="auto" w:fill="auto"/>
            <w:noWrap/>
            <w:vAlign w:val="center"/>
            <w:hideMark/>
          </w:tcPr>
          <w:p w:rsidR="00862276" w:rsidRPr="00780E04" w:rsidRDefault="00862276" w:rsidP="00124F98">
            <w:pPr>
              <w:rPr>
                <w:color w:val="000000"/>
                <w:sz w:val="22"/>
                <w:lang w:val="en-PH"/>
              </w:rPr>
            </w:pPr>
            <w:r w:rsidRPr="00780E04">
              <w:rPr>
                <w:color w:val="000000"/>
                <w:sz w:val="22"/>
                <w:lang w:val="en-PH"/>
              </w:rPr>
              <w:t>Remittance to GSIS/</w:t>
            </w:r>
            <w:proofErr w:type="spellStart"/>
            <w:r w:rsidRPr="00780E04">
              <w:rPr>
                <w:color w:val="000000"/>
                <w:sz w:val="22"/>
                <w:lang w:val="en-PH"/>
              </w:rPr>
              <w:t>Pag</w:t>
            </w:r>
            <w:proofErr w:type="spellEnd"/>
            <w:r w:rsidRPr="00780E04">
              <w:rPr>
                <w:color w:val="000000"/>
                <w:sz w:val="22"/>
                <w:lang w:val="en-PH"/>
              </w:rPr>
              <w:t>-IBIG/</w:t>
            </w:r>
            <w:proofErr w:type="spellStart"/>
            <w:r w:rsidRPr="00780E04">
              <w:rPr>
                <w:color w:val="000000"/>
                <w:sz w:val="22"/>
                <w:lang w:val="en-PH"/>
              </w:rPr>
              <w:t>PhilHealth</w:t>
            </w:r>
            <w:proofErr w:type="spellEnd"/>
          </w:p>
        </w:tc>
        <w:tc>
          <w:tcPr>
            <w:tcW w:w="1890" w:type="dxa"/>
            <w:shd w:val="clear" w:color="auto" w:fill="auto"/>
            <w:noWrap/>
            <w:hideMark/>
          </w:tcPr>
          <w:p w:rsidR="00862276" w:rsidRPr="00780E04" w:rsidRDefault="00862276" w:rsidP="00780E04">
            <w:pPr>
              <w:jc w:val="right"/>
              <w:rPr>
                <w:color w:val="000000"/>
                <w:sz w:val="22"/>
                <w:lang w:val="en-PH"/>
              </w:rPr>
            </w:pPr>
            <w:r w:rsidRPr="00780E04">
              <w:rPr>
                <w:color w:val="000000"/>
                <w:sz w:val="22"/>
                <w:lang w:val="en-PH"/>
              </w:rPr>
              <w:t> 12,024,026.36</w:t>
            </w:r>
          </w:p>
        </w:tc>
        <w:tc>
          <w:tcPr>
            <w:tcW w:w="1728" w:type="dxa"/>
            <w:shd w:val="clear" w:color="auto" w:fill="auto"/>
            <w:noWrap/>
          </w:tcPr>
          <w:p w:rsidR="00862276" w:rsidRPr="00780E04" w:rsidRDefault="00862276" w:rsidP="00780E04">
            <w:pPr>
              <w:jc w:val="right"/>
              <w:rPr>
                <w:color w:val="000000"/>
                <w:sz w:val="22"/>
                <w:lang w:val="en-PH"/>
              </w:rPr>
            </w:pPr>
            <w:r w:rsidRPr="00780E04">
              <w:rPr>
                <w:color w:val="000000"/>
                <w:sz w:val="22"/>
                <w:lang w:val="en-PH"/>
              </w:rPr>
              <w:t>12,543,197.72</w:t>
            </w:r>
          </w:p>
        </w:tc>
      </w:tr>
      <w:tr w:rsidR="00862276" w:rsidRPr="00780E04" w:rsidTr="00780E04">
        <w:trPr>
          <w:trHeight w:val="144"/>
        </w:trPr>
        <w:tc>
          <w:tcPr>
            <w:tcW w:w="4680" w:type="dxa"/>
            <w:shd w:val="clear" w:color="auto" w:fill="auto"/>
            <w:noWrap/>
            <w:vAlign w:val="center"/>
            <w:hideMark/>
          </w:tcPr>
          <w:p w:rsidR="00862276" w:rsidRPr="00780E04" w:rsidRDefault="00862276" w:rsidP="00124F98">
            <w:pPr>
              <w:rPr>
                <w:color w:val="000000"/>
                <w:sz w:val="22"/>
                <w:lang w:val="en-PH"/>
              </w:rPr>
            </w:pPr>
            <w:r w:rsidRPr="00780E04">
              <w:rPr>
                <w:color w:val="000000"/>
                <w:sz w:val="22"/>
                <w:lang w:val="en-PH"/>
              </w:rPr>
              <w:t>Remittance of personnel benefits contributions</w:t>
            </w:r>
          </w:p>
        </w:tc>
        <w:tc>
          <w:tcPr>
            <w:tcW w:w="1890" w:type="dxa"/>
            <w:shd w:val="clear" w:color="auto" w:fill="auto"/>
            <w:noWrap/>
            <w:hideMark/>
          </w:tcPr>
          <w:p w:rsidR="00862276" w:rsidRPr="00780E04" w:rsidRDefault="00862276" w:rsidP="00780E04">
            <w:pPr>
              <w:jc w:val="right"/>
              <w:rPr>
                <w:color w:val="000000"/>
                <w:sz w:val="22"/>
                <w:lang w:val="en-PH"/>
              </w:rPr>
            </w:pPr>
            <w:r w:rsidRPr="00780E04">
              <w:rPr>
                <w:color w:val="000000"/>
                <w:sz w:val="22"/>
                <w:lang w:val="en-PH"/>
              </w:rPr>
              <w:t>-</w:t>
            </w:r>
          </w:p>
        </w:tc>
        <w:tc>
          <w:tcPr>
            <w:tcW w:w="1728" w:type="dxa"/>
            <w:shd w:val="clear" w:color="auto" w:fill="auto"/>
            <w:noWrap/>
          </w:tcPr>
          <w:p w:rsidR="00862276" w:rsidRPr="00780E04" w:rsidRDefault="00862276" w:rsidP="00780E04">
            <w:pPr>
              <w:jc w:val="right"/>
              <w:rPr>
                <w:color w:val="000000"/>
                <w:sz w:val="22"/>
                <w:lang w:val="en-PH"/>
              </w:rPr>
            </w:pPr>
            <w:r w:rsidRPr="00780E04">
              <w:rPr>
                <w:color w:val="000000"/>
                <w:sz w:val="22"/>
                <w:lang w:val="en-PH"/>
              </w:rPr>
              <w:t>5,249,351.16</w:t>
            </w:r>
          </w:p>
        </w:tc>
      </w:tr>
      <w:tr w:rsidR="00862276" w:rsidRPr="00780E04" w:rsidTr="00780E04">
        <w:trPr>
          <w:trHeight w:val="144"/>
        </w:trPr>
        <w:tc>
          <w:tcPr>
            <w:tcW w:w="4680" w:type="dxa"/>
            <w:shd w:val="clear" w:color="auto" w:fill="auto"/>
            <w:noWrap/>
            <w:vAlign w:val="center"/>
            <w:hideMark/>
          </w:tcPr>
          <w:p w:rsidR="00862276" w:rsidRPr="00780E04" w:rsidRDefault="00862276" w:rsidP="00124F98">
            <w:pPr>
              <w:rPr>
                <w:color w:val="000000"/>
                <w:sz w:val="22"/>
                <w:lang w:val="en-PH"/>
              </w:rPr>
            </w:pPr>
            <w:r w:rsidRPr="00780E04">
              <w:rPr>
                <w:color w:val="000000"/>
                <w:sz w:val="22"/>
                <w:lang w:val="en-PH"/>
              </w:rPr>
              <w:t>Remittance to other payables</w:t>
            </w:r>
          </w:p>
        </w:tc>
        <w:tc>
          <w:tcPr>
            <w:tcW w:w="1890" w:type="dxa"/>
            <w:shd w:val="clear" w:color="auto" w:fill="auto"/>
            <w:noWrap/>
            <w:hideMark/>
          </w:tcPr>
          <w:p w:rsidR="00862276" w:rsidRPr="00780E04" w:rsidRDefault="00862276" w:rsidP="00780E04">
            <w:pPr>
              <w:jc w:val="right"/>
              <w:rPr>
                <w:color w:val="000000"/>
                <w:sz w:val="22"/>
                <w:lang w:val="en-PH"/>
              </w:rPr>
            </w:pPr>
            <w:r w:rsidRPr="00780E04">
              <w:rPr>
                <w:color w:val="000000"/>
                <w:sz w:val="22"/>
                <w:lang w:val="en-PH"/>
              </w:rPr>
              <w:t> 5,093,130.60</w:t>
            </w:r>
          </w:p>
        </w:tc>
        <w:tc>
          <w:tcPr>
            <w:tcW w:w="1728" w:type="dxa"/>
            <w:shd w:val="clear" w:color="auto" w:fill="auto"/>
            <w:noWrap/>
            <w:hideMark/>
          </w:tcPr>
          <w:p w:rsidR="00862276" w:rsidRPr="00780E04" w:rsidRDefault="00862276" w:rsidP="00780E04">
            <w:pPr>
              <w:jc w:val="right"/>
              <w:rPr>
                <w:color w:val="000000"/>
                <w:sz w:val="22"/>
                <w:lang w:val="en-PH"/>
              </w:rPr>
            </w:pPr>
            <w:r w:rsidRPr="00780E04">
              <w:rPr>
                <w:color w:val="000000"/>
                <w:sz w:val="22"/>
                <w:lang w:val="en-PH"/>
              </w:rPr>
              <w:t> 5,330,440.95</w:t>
            </w:r>
          </w:p>
        </w:tc>
      </w:tr>
      <w:tr w:rsidR="00862276" w:rsidRPr="00780E04" w:rsidTr="00955286">
        <w:trPr>
          <w:trHeight w:val="144"/>
        </w:trPr>
        <w:tc>
          <w:tcPr>
            <w:tcW w:w="4680" w:type="dxa"/>
            <w:shd w:val="clear" w:color="auto" w:fill="auto"/>
            <w:noWrap/>
            <w:vAlign w:val="center"/>
            <w:hideMark/>
          </w:tcPr>
          <w:p w:rsidR="00862276" w:rsidRPr="00780E04" w:rsidRDefault="00862276" w:rsidP="00991002">
            <w:pPr>
              <w:rPr>
                <w:b/>
                <w:bCs/>
                <w:color w:val="000000"/>
                <w:sz w:val="22"/>
                <w:lang w:val="en-PH"/>
              </w:rPr>
            </w:pPr>
            <w:r w:rsidRPr="00780E04">
              <w:rPr>
                <w:b/>
                <w:bCs/>
                <w:color w:val="000000"/>
                <w:sz w:val="22"/>
                <w:lang w:val="en-PH"/>
              </w:rPr>
              <w:t xml:space="preserve">Total </w:t>
            </w:r>
          </w:p>
        </w:tc>
        <w:tc>
          <w:tcPr>
            <w:tcW w:w="1890" w:type="dxa"/>
            <w:shd w:val="clear" w:color="auto" w:fill="auto"/>
            <w:noWrap/>
            <w:vAlign w:val="center"/>
            <w:hideMark/>
          </w:tcPr>
          <w:p w:rsidR="00862276" w:rsidRPr="00780E04" w:rsidRDefault="00862276" w:rsidP="00955286">
            <w:pPr>
              <w:jc w:val="right"/>
              <w:rPr>
                <w:b/>
                <w:color w:val="000000"/>
                <w:sz w:val="22"/>
                <w:lang w:val="en-PH"/>
              </w:rPr>
            </w:pPr>
            <w:r w:rsidRPr="00780E04">
              <w:rPr>
                <w:b/>
                <w:color w:val="000000"/>
                <w:sz w:val="22"/>
                <w:lang w:val="en-PH"/>
              </w:rPr>
              <w:t>22,352,856.57</w:t>
            </w:r>
          </w:p>
        </w:tc>
        <w:tc>
          <w:tcPr>
            <w:tcW w:w="1728" w:type="dxa"/>
            <w:shd w:val="clear" w:color="auto" w:fill="auto"/>
            <w:noWrap/>
            <w:vAlign w:val="center"/>
            <w:hideMark/>
          </w:tcPr>
          <w:p w:rsidR="00862276" w:rsidRPr="00780E04" w:rsidRDefault="00862276" w:rsidP="00955286">
            <w:pPr>
              <w:jc w:val="right"/>
              <w:rPr>
                <w:color w:val="000000"/>
                <w:sz w:val="22"/>
                <w:lang w:val="en-PH"/>
              </w:rPr>
            </w:pPr>
            <w:r w:rsidRPr="00780E04">
              <w:rPr>
                <w:b/>
                <w:color w:val="000000"/>
                <w:sz w:val="22"/>
                <w:lang w:val="en-PH"/>
              </w:rPr>
              <w:t>28,818,765.30</w:t>
            </w:r>
          </w:p>
        </w:tc>
      </w:tr>
    </w:tbl>
    <w:p w:rsidR="00991002" w:rsidRDefault="00991002" w:rsidP="00991002">
      <w:pPr>
        <w:pStyle w:val="BodyTextIndent"/>
        <w:ind w:firstLine="0"/>
        <w:rPr>
          <w:b/>
          <w:szCs w:val="24"/>
        </w:rPr>
      </w:pPr>
    </w:p>
    <w:p w:rsidR="00AB0114" w:rsidRDefault="00AB0114" w:rsidP="00D47726">
      <w:pPr>
        <w:pStyle w:val="BodyTextIndent"/>
        <w:numPr>
          <w:ilvl w:val="0"/>
          <w:numId w:val="18"/>
        </w:numPr>
        <w:ind w:left="426" w:hanging="426"/>
        <w:rPr>
          <w:b/>
          <w:szCs w:val="24"/>
        </w:rPr>
      </w:pPr>
      <w:r>
        <w:rPr>
          <w:b/>
          <w:szCs w:val="24"/>
        </w:rPr>
        <w:t xml:space="preserve">Release of </w:t>
      </w:r>
      <w:r w:rsidR="00B07CD5">
        <w:rPr>
          <w:b/>
          <w:szCs w:val="24"/>
        </w:rPr>
        <w:t xml:space="preserve">Inter-Agency Fund Transfers </w:t>
      </w:r>
    </w:p>
    <w:p w:rsidR="00AB0114" w:rsidRPr="00D47726" w:rsidRDefault="00AB0114" w:rsidP="00124F98">
      <w:pPr>
        <w:rPr>
          <w:b/>
          <w:sz w:val="18"/>
          <w:szCs w:val="18"/>
        </w:rPr>
      </w:pPr>
    </w:p>
    <w:p w:rsidR="00AB0114" w:rsidRPr="001E63F3" w:rsidRDefault="00D87B8C" w:rsidP="00D47726">
      <w:pPr>
        <w:pStyle w:val="BodyTextIndent"/>
        <w:tabs>
          <w:tab w:val="left" w:pos="1080"/>
        </w:tabs>
        <w:spacing w:line="24" w:lineRule="atLeast"/>
        <w:ind w:left="426" w:firstLine="0"/>
        <w:rPr>
          <w:bCs/>
          <w:color w:val="000000"/>
          <w:szCs w:val="24"/>
        </w:rPr>
      </w:pPr>
      <w:r w:rsidRPr="00B31A9B">
        <w:rPr>
          <w:bCs/>
          <w:color w:val="000000"/>
          <w:szCs w:val="24"/>
        </w:rPr>
        <w:t xml:space="preserve">This consists of the advance payment made to </w:t>
      </w:r>
      <w:r>
        <w:rPr>
          <w:bCs/>
          <w:color w:val="000000"/>
          <w:szCs w:val="24"/>
        </w:rPr>
        <w:t xml:space="preserve">Department of Public Works </w:t>
      </w:r>
      <w:r w:rsidR="001304F2">
        <w:rPr>
          <w:bCs/>
          <w:color w:val="000000"/>
          <w:szCs w:val="24"/>
        </w:rPr>
        <w:t>and</w:t>
      </w:r>
      <w:r>
        <w:rPr>
          <w:bCs/>
          <w:color w:val="000000"/>
          <w:szCs w:val="24"/>
        </w:rPr>
        <w:t xml:space="preserve"> Highways</w:t>
      </w:r>
      <w:r w:rsidRPr="00B31A9B">
        <w:rPr>
          <w:bCs/>
          <w:color w:val="000000"/>
          <w:szCs w:val="24"/>
        </w:rPr>
        <w:t xml:space="preserve"> for the proposed </w:t>
      </w:r>
      <w:r w:rsidR="006A3108">
        <w:rPr>
          <w:bCs/>
          <w:color w:val="000000"/>
          <w:szCs w:val="24"/>
        </w:rPr>
        <w:t xml:space="preserve">fencing project of </w:t>
      </w:r>
      <w:proofErr w:type="spellStart"/>
      <w:r w:rsidR="006A3108">
        <w:rPr>
          <w:bCs/>
          <w:color w:val="000000"/>
          <w:szCs w:val="24"/>
        </w:rPr>
        <w:t>PhilSCA</w:t>
      </w:r>
      <w:r>
        <w:rPr>
          <w:bCs/>
          <w:color w:val="000000"/>
          <w:szCs w:val="24"/>
        </w:rPr>
        <w:t>Palmayo</w:t>
      </w:r>
      <w:proofErr w:type="spellEnd"/>
      <w:r>
        <w:rPr>
          <w:bCs/>
          <w:color w:val="000000"/>
          <w:szCs w:val="24"/>
        </w:rPr>
        <w:t xml:space="preserve"> Campus</w:t>
      </w:r>
      <w:r w:rsidR="004D1EE3">
        <w:rPr>
          <w:bCs/>
          <w:color w:val="000000"/>
          <w:szCs w:val="24"/>
        </w:rPr>
        <w:t xml:space="preserve"> amounting to ₱</w:t>
      </w:r>
      <w:r>
        <w:rPr>
          <w:bCs/>
          <w:color w:val="000000"/>
          <w:szCs w:val="24"/>
        </w:rPr>
        <w:t>1</w:t>
      </w:r>
      <w:r w:rsidR="001E63F3">
        <w:rPr>
          <w:bCs/>
          <w:color w:val="000000"/>
          <w:szCs w:val="24"/>
        </w:rPr>
        <w:t>,000,000.00.</w:t>
      </w:r>
    </w:p>
    <w:p w:rsidR="007E3837" w:rsidRPr="00D47726" w:rsidRDefault="007E3837" w:rsidP="00124F98">
      <w:pPr>
        <w:rPr>
          <w:b/>
          <w:sz w:val="18"/>
          <w:szCs w:val="18"/>
        </w:rPr>
      </w:pPr>
    </w:p>
    <w:p w:rsidR="00625F29" w:rsidRDefault="00625F29" w:rsidP="00D47726">
      <w:pPr>
        <w:pStyle w:val="BodyTextIndent"/>
        <w:numPr>
          <w:ilvl w:val="0"/>
          <w:numId w:val="18"/>
        </w:numPr>
        <w:ind w:left="426" w:hanging="426"/>
        <w:rPr>
          <w:b/>
          <w:color w:val="000000"/>
          <w:szCs w:val="24"/>
          <w:lang w:val="en-PH"/>
        </w:rPr>
      </w:pPr>
      <w:r>
        <w:rPr>
          <w:b/>
          <w:szCs w:val="24"/>
        </w:rPr>
        <w:t>Other Disbursements</w:t>
      </w:r>
    </w:p>
    <w:p w:rsidR="006E2120" w:rsidRPr="00D47726" w:rsidRDefault="006E2120" w:rsidP="00124F98">
      <w:pPr>
        <w:rPr>
          <w:b/>
          <w:color w:val="000000"/>
          <w:sz w:val="18"/>
          <w:szCs w:val="18"/>
          <w:lang w:val="en-PH"/>
        </w:rPr>
      </w:pPr>
    </w:p>
    <w:p w:rsidR="00E44BC0" w:rsidRPr="00916EF5" w:rsidRDefault="006E2120" w:rsidP="00D47726">
      <w:pPr>
        <w:ind w:left="426"/>
        <w:jc w:val="both"/>
        <w:rPr>
          <w:sz w:val="24"/>
          <w:szCs w:val="24"/>
        </w:rPr>
      </w:pPr>
      <w:r>
        <w:rPr>
          <w:sz w:val="24"/>
          <w:szCs w:val="24"/>
        </w:rPr>
        <w:t>This refers to the refund of guaranty/security deposits due to contractors in the amount of</w:t>
      </w:r>
      <w:r w:rsidR="00D47726">
        <w:rPr>
          <w:sz w:val="24"/>
          <w:szCs w:val="24"/>
        </w:rPr>
        <w:t xml:space="preserve"> </w:t>
      </w:r>
      <w:r w:rsidR="00FF4A74">
        <w:rPr>
          <w:sz w:val="24"/>
          <w:szCs w:val="24"/>
        </w:rPr>
        <w:t>₱</w:t>
      </w:r>
      <w:r w:rsidR="002229F7">
        <w:rPr>
          <w:sz w:val="24"/>
          <w:szCs w:val="24"/>
        </w:rPr>
        <w:t>281,</w:t>
      </w:r>
      <w:r>
        <w:rPr>
          <w:sz w:val="24"/>
          <w:szCs w:val="24"/>
        </w:rPr>
        <w:t>250.00.</w:t>
      </w:r>
    </w:p>
    <w:p w:rsidR="00E44BC0" w:rsidRPr="00D47726" w:rsidRDefault="00E44BC0" w:rsidP="00124F98">
      <w:pPr>
        <w:rPr>
          <w:b/>
          <w:sz w:val="18"/>
          <w:szCs w:val="18"/>
        </w:rPr>
      </w:pPr>
    </w:p>
    <w:p w:rsidR="00637396" w:rsidRPr="0002391A" w:rsidRDefault="00215DA2" w:rsidP="00D47726">
      <w:pPr>
        <w:pStyle w:val="BodyTextIndent"/>
        <w:numPr>
          <w:ilvl w:val="0"/>
          <w:numId w:val="18"/>
        </w:numPr>
        <w:ind w:left="426" w:hanging="426"/>
        <w:rPr>
          <w:b/>
          <w:szCs w:val="24"/>
        </w:rPr>
      </w:pPr>
      <w:r w:rsidRPr="00215DA2">
        <w:rPr>
          <w:b/>
          <w:szCs w:val="24"/>
        </w:rPr>
        <w:t>Reversal of Unutilized NCA</w:t>
      </w:r>
    </w:p>
    <w:p w:rsidR="00215DA2" w:rsidRPr="00D47726" w:rsidRDefault="00215DA2" w:rsidP="00124F98">
      <w:pPr>
        <w:rPr>
          <w:b/>
          <w:sz w:val="18"/>
          <w:szCs w:val="18"/>
        </w:rPr>
      </w:pPr>
    </w:p>
    <w:p w:rsidR="005B2028" w:rsidRDefault="00627888" w:rsidP="00D47726">
      <w:pPr>
        <w:ind w:left="426"/>
        <w:rPr>
          <w:sz w:val="24"/>
          <w:szCs w:val="24"/>
        </w:rPr>
      </w:pPr>
      <w:r>
        <w:rPr>
          <w:sz w:val="24"/>
          <w:szCs w:val="24"/>
        </w:rPr>
        <w:t>The total unutilized NCA ba</w:t>
      </w:r>
      <w:r w:rsidR="002229F7">
        <w:rPr>
          <w:sz w:val="24"/>
          <w:szCs w:val="24"/>
        </w:rPr>
        <w:t xml:space="preserve">lance for </w:t>
      </w:r>
      <w:r w:rsidR="00155FD9" w:rsidRPr="009669C6">
        <w:rPr>
          <w:sz w:val="24"/>
          <w:szCs w:val="24"/>
        </w:rPr>
        <w:t>C</w:t>
      </w:r>
      <w:r w:rsidR="002229F7" w:rsidRPr="009669C6">
        <w:rPr>
          <w:sz w:val="24"/>
          <w:szCs w:val="24"/>
        </w:rPr>
        <w:t>Y</w:t>
      </w:r>
      <w:r w:rsidR="002229F7">
        <w:rPr>
          <w:sz w:val="24"/>
          <w:szCs w:val="24"/>
        </w:rPr>
        <w:t xml:space="preserve"> 2016 amounted to ₱</w:t>
      </w:r>
      <w:r w:rsidR="00637396" w:rsidRPr="00637396">
        <w:rPr>
          <w:bCs/>
          <w:color w:val="000000"/>
          <w:sz w:val="24"/>
          <w:szCs w:val="24"/>
          <w:lang w:val="en-PH"/>
        </w:rPr>
        <w:t>6,807,609.46</w:t>
      </w:r>
      <w:r w:rsidR="00D47726">
        <w:rPr>
          <w:bCs/>
          <w:color w:val="000000"/>
          <w:sz w:val="24"/>
          <w:szCs w:val="24"/>
          <w:lang w:val="en-PH"/>
        </w:rPr>
        <w:t xml:space="preserve"> </w:t>
      </w:r>
      <w:r w:rsidR="00E0283E">
        <w:rPr>
          <w:sz w:val="24"/>
          <w:szCs w:val="24"/>
        </w:rPr>
        <w:t xml:space="preserve">which was reverted </w:t>
      </w:r>
      <w:r>
        <w:rPr>
          <w:sz w:val="24"/>
          <w:szCs w:val="24"/>
        </w:rPr>
        <w:t>to the account of the National Treasury as at December 31, 2016.</w:t>
      </w:r>
    </w:p>
    <w:p w:rsidR="00454FD6" w:rsidRPr="00D47726" w:rsidRDefault="00454FD6" w:rsidP="00862276">
      <w:pPr>
        <w:tabs>
          <w:tab w:val="left" w:pos="90"/>
          <w:tab w:val="left" w:pos="360"/>
        </w:tabs>
        <w:ind w:left="360"/>
        <w:rPr>
          <w:sz w:val="18"/>
          <w:szCs w:val="18"/>
        </w:rPr>
      </w:pPr>
    </w:p>
    <w:p w:rsidR="00215DA2" w:rsidRDefault="00215DA2" w:rsidP="00D47726">
      <w:pPr>
        <w:pStyle w:val="BodyTextIndent"/>
        <w:numPr>
          <w:ilvl w:val="0"/>
          <w:numId w:val="18"/>
        </w:numPr>
        <w:ind w:left="426" w:hanging="426"/>
        <w:rPr>
          <w:b/>
          <w:szCs w:val="24"/>
        </w:rPr>
      </w:pPr>
      <w:r w:rsidRPr="00A03276">
        <w:rPr>
          <w:b/>
          <w:szCs w:val="24"/>
        </w:rPr>
        <w:t xml:space="preserve">Purchase of Property, Plant </w:t>
      </w:r>
      <w:r w:rsidR="001304F2">
        <w:rPr>
          <w:b/>
          <w:szCs w:val="24"/>
        </w:rPr>
        <w:t>and</w:t>
      </w:r>
      <w:r w:rsidRPr="00A03276">
        <w:rPr>
          <w:b/>
          <w:szCs w:val="24"/>
        </w:rPr>
        <w:t xml:space="preserve"> Equipment</w:t>
      </w:r>
    </w:p>
    <w:p w:rsidR="00316181" w:rsidRPr="00D47726" w:rsidRDefault="00316181" w:rsidP="00124F98">
      <w:pPr>
        <w:rPr>
          <w:b/>
          <w:sz w:val="18"/>
          <w:szCs w:val="18"/>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454FD6" w:rsidRPr="00780E04" w:rsidTr="00780E04">
        <w:trPr>
          <w:trHeight w:val="259"/>
        </w:trPr>
        <w:tc>
          <w:tcPr>
            <w:tcW w:w="4680" w:type="dxa"/>
            <w:shd w:val="clear" w:color="auto" w:fill="auto"/>
            <w:noWrap/>
            <w:vAlign w:val="center"/>
            <w:hideMark/>
          </w:tcPr>
          <w:p w:rsidR="00454FD6" w:rsidRPr="00780E04" w:rsidRDefault="00155FD9" w:rsidP="00244D18">
            <w:pPr>
              <w:jc w:val="center"/>
              <w:rPr>
                <w:b/>
                <w:bCs/>
                <w:color w:val="000000"/>
                <w:sz w:val="22"/>
                <w:lang w:val="en-PH"/>
              </w:rPr>
            </w:pPr>
            <w:r w:rsidRPr="009669C6">
              <w:rPr>
                <w:b/>
                <w:bCs/>
                <w:color w:val="000000"/>
                <w:sz w:val="22"/>
                <w:lang w:val="en-PH"/>
              </w:rPr>
              <w:t>Particulars</w:t>
            </w:r>
          </w:p>
        </w:tc>
        <w:tc>
          <w:tcPr>
            <w:tcW w:w="1890" w:type="dxa"/>
            <w:shd w:val="clear" w:color="auto" w:fill="auto"/>
            <w:noWrap/>
            <w:vAlign w:val="center"/>
            <w:hideMark/>
          </w:tcPr>
          <w:p w:rsidR="00454FD6" w:rsidRPr="00780E04" w:rsidRDefault="00454FD6" w:rsidP="00244D18">
            <w:pPr>
              <w:jc w:val="center"/>
              <w:rPr>
                <w:b/>
                <w:bCs/>
                <w:color w:val="000000"/>
                <w:sz w:val="22"/>
                <w:lang w:val="en-PH"/>
              </w:rPr>
            </w:pPr>
            <w:r w:rsidRPr="00780E04">
              <w:rPr>
                <w:b/>
                <w:bCs/>
                <w:color w:val="000000"/>
                <w:sz w:val="22"/>
                <w:lang w:val="en-PH"/>
              </w:rPr>
              <w:t>2016</w:t>
            </w:r>
          </w:p>
        </w:tc>
        <w:tc>
          <w:tcPr>
            <w:tcW w:w="1710" w:type="dxa"/>
            <w:shd w:val="clear" w:color="auto" w:fill="auto"/>
            <w:noWrap/>
            <w:vAlign w:val="center"/>
            <w:hideMark/>
          </w:tcPr>
          <w:p w:rsidR="00454FD6" w:rsidRPr="00780E04" w:rsidRDefault="00454FD6" w:rsidP="00244D18">
            <w:pPr>
              <w:jc w:val="center"/>
              <w:rPr>
                <w:b/>
                <w:bCs/>
                <w:color w:val="000000"/>
                <w:sz w:val="22"/>
                <w:lang w:val="en-PH"/>
              </w:rPr>
            </w:pPr>
            <w:r w:rsidRPr="00780E04">
              <w:rPr>
                <w:b/>
                <w:bCs/>
                <w:color w:val="000000"/>
                <w:sz w:val="22"/>
                <w:lang w:val="en-PH"/>
              </w:rPr>
              <w:t>2015</w:t>
            </w:r>
          </w:p>
        </w:tc>
      </w:tr>
      <w:tr w:rsidR="00454FD6" w:rsidRPr="00780E04" w:rsidTr="00955286">
        <w:trPr>
          <w:trHeight w:val="259"/>
        </w:trPr>
        <w:tc>
          <w:tcPr>
            <w:tcW w:w="4680" w:type="dxa"/>
            <w:shd w:val="clear" w:color="auto" w:fill="auto"/>
            <w:noWrap/>
            <w:vAlign w:val="center"/>
            <w:hideMark/>
          </w:tcPr>
          <w:p w:rsidR="00454FD6" w:rsidRPr="00780E04" w:rsidRDefault="00454FD6" w:rsidP="00124F98">
            <w:pPr>
              <w:rPr>
                <w:color w:val="000000"/>
                <w:sz w:val="22"/>
                <w:lang w:val="en-PH"/>
              </w:rPr>
            </w:pPr>
            <w:r w:rsidRPr="00780E04">
              <w:rPr>
                <w:color w:val="000000"/>
                <w:sz w:val="22"/>
                <w:lang w:val="en-PH"/>
              </w:rPr>
              <w:t>Purchase of machinery and equipment</w:t>
            </w:r>
          </w:p>
        </w:tc>
        <w:tc>
          <w:tcPr>
            <w:tcW w:w="189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622,991.73</w:t>
            </w:r>
          </w:p>
        </w:tc>
        <w:tc>
          <w:tcPr>
            <w:tcW w:w="171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2,961,313.47</w:t>
            </w:r>
          </w:p>
        </w:tc>
      </w:tr>
      <w:tr w:rsidR="00454FD6" w:rsidRPr="00780E04" w:rsidTr="00955286">
        <w:trPr>
          <w:trHeight w:val="259"/>
        </w:trPr>
        <w:tc>
          <w:tcPr>
            <w:tcW w:w="4680" w:type="dxa"/>
            <w:shd w:val="clear" w:color="auto" w:fill="auto"/>
            <w:noWrap/>
            <w:vAlign w:val="center"/>
            <w:hideMark/>
          </w:tcPr>
          <w:p w:rsidR="00454FD6" w:rsidRPr="00780E04" w:rsidRDefault="00454FD6" w:rsidP="00124F98">
            <w:pPr>
              <w:rPr>
                <w:color w:val="000000"/>
                <w:sz w:val="22"/>
                <w:lang w:val="en-PH"/>
              </w:rPr>
            </w:pPr>
            <w:r w:rsidRPr="00780E04">
              <w:rPr>
                <w:color w:val="000000"/>
                <w:sz w:val="22"/>
                <w:lang w:val="en-PH"/>
              </w:rPr>
              <w:t>Purchase of furniture, fixtures and books</w:t>
            </w:r>
          </w:p>
        </w:tc>
        <w:tc>
          <w:tcPr>
            <w:tcW w:w="189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 99,327.68</w:t>
            </w:r>
          </w:p>
        </w:tc>
        <w:tc>
          <w:tcPr>
            <w:tcW w:w="171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 10,045.44</w:t>
            </w:r>
          </w:p>
        </w:tc>
      </w:tr>
      <w:tr w:rsidR="00454FD6" w:rsidRPr="00780E04" w:rsidTr="00955286">
        <w:trPr>
          <w:trHeight w:val="259"/>
        </w:trPr>
        <w:tc>
          <w:tcPr>
            <w:tcW w:w="4680" w:type="dxa"/>
            <w:shd w:val="clear" w:color="auto" w:fill="auto"/>
            <w:noWrap/>
            <w:vAlign w:val="center"/>
            <w:hideMark/>
          </w:tcPr>
          <w:p w:rsidR="00454FD6" w:rsidRPr="00780E04" w:rsidRDefault="00454FD6" w:rsidP="00124F98">
            <w:pPr>
              <w:rPr>
                <w:color w:val="000000"/>
                <w:sz w:val="22"/>
                <w:lang w:val="en-PH"/>
              </w:rPr>
            </w:pPr>
            <w:r w:rsidRPr="00780E04">
              <w:rPr>
                <w:color w:val="000000"/>
                <w:sz w:val="22"/>
                <w:lang w:val="en-PH"/>
              </w:rPr>
              <w:t>Purchase of transportation equipment</w:t>
            </w:r>
          </w:p>
        </w:tc>
        <w:tc>
          <w:tcPr>
            <w:tcW w:w="189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w:t>
            </w:r>
          </w:p>
        </w:tc>
        <w:tc>
          <w:tcPr>
            <w:tcW w:w="1710" w:type="dxa"/>
            <w:shd w:val="clear" w:color="auto" w:fill="auto"/>
            <w:noWrap/>
            <w:hideMark/>
          </w:tcPr>
          <w:p w:rsidR="00454FD6" w:rsidRPr="00780E04" w:rsidRDefault="00454FD6" w:rsidP="00955286">
            <w:pPr>
              <w:jc w:val="right"/>
              <w:rPr>
                <w:color w:val="000000"/>
                <w:sz w:val="22"/>
                <w:lang w:val="en-PH"/>
              </w:rPr>
            </w:pPr>
            <w:r w:rsidRPr="00780E04">
              <w:rPr>
                <w:color w:val="000000"/>
                <w:sz w:val="22"/>
                <w:lang w:val="en-PH"/>
              </w:rPr>
              <w:t> 178,356.72</w:t>
            </w:r>
          </w:p>
        </w:tc>
      </w:tr>
      <w:tr w:rsidR="00454FD6" w:rsidRPr="00780E04" w:rsidTr="00991002">
        <w:trPr>
          <w:trHeight w:val="70"/>
        </w:trPr>
        <w:tc>
          <w:tcPr>
            <w:tcW w:w="4680" w:type="dxa"/>
            <w:shd w:val="clear" w:color="auto" w:fill="auto"/>
            <w:noWrap/>
            <w:vAlign w:val="center"/>
            <w:hideMark/>
          </w:tcPr>
          <w:p w:rsidR="00454FD6" w:rsidRPr="00780E04" w:rsidRDefault="00454FD6" w:rsidP="00991002">
            <w:pPr>
              <w:rPr>
                <w:b/>
                <w:bCs/>
                <w:color w:val="000000"/>
                <w:sz w:val="22"/>
                <w:lang w:val="en-PH"/>
              </w:rPr>
            </w:pPr>
            <w:r w:rsidRPr="00780E04">
              <w:rPr>
                <w:b/>
                <w:bCs/>
                <w:color w:val="000000"/>
                <w:sz w:val="22"/>
                <w:lang w:val="en-PH"/>
              </w:rPr>
              <w:t xml:space="preserve">Total </w:t>
            </w:r>
          </w:p>
        </w:tc>
        <w:tc>
          <w:tcPr>
            <w:tcW w:w="1890" w:type="dxa"/>
            <w:shd w:val="clear" w:color="auto" w:fill="auto"/>
            <w:noWrap/>
            <w:vAlign w:val="center"/>
            <w:hideMark/>
          </w:tcPr>
          <w:p w:rsidR="00454FD6" w:rsidRPr="00780E04" w:rsidRDefault="00454FD6" w:rsidP="000B5E5E">
            <w:pPr>
              <w:jc w:val="right"/>
              <w:rPr>
                <w:b/>
                <w:color w:val="000000"/>
                <w:sz w:val="22"/>
                <w:lang w:val="en-PH"/>
              </w:rPr>
            </w:pPr>
            <w:r w:rsidRPr="00780E04">
              <w:rPr>
                <w:b/>
                <w:color w:val="000000"/>
                <w:sz w:val="22"/>
                <w:lang w:val="en-PH"/>
              </w:rPr>
              <w:t>722,319.41</w:t>
            </w:r>
          </w:p>
        </w:tc>
        <w:tc>
          <w:tcPr>
            <w:tcW w:w="1710" w:type="dxa"/>
            <w:shd w:val="clear" w:color="auto" w:fill="auto"/>
            <w:noWrap/>
            <w:vAlign w:val="center"/>
            <w:hideMark/>
          </w:tcPr>
          <w:p w:rsidR="00454FD6" w:rsidRPr="00780E04" w:rsidRDefault="00454FD6" w:rsidP="000B5E5E">
            <w:pPr>
              <w:jc w:val="right"/>
              <w:rPr>
                <w:b/>
                <w:color w:val="000000"/>
                <w:sz w:val="22"/>
                <w:lang w:val="en-PH"/>
              </w:rPr>
            </w:pPr>
            <w:r w:rsidRPr="00780E04">
              <w:rPr>
                <w:b/>
                <w:color w:val="000000"/>
                <w:sz w:val="22"/>
                <w:lang w:val="en-PH"/>
              </w:rPr>
              <w:t>3,149,715.63</w:t>
            </w:r>
          </w:p>
        </w:tc>
      </w:tr>
    </w:tbl>
    <w:p w:rsidR="00D47726" w:rsidRPr="00D47726" w:rsidRDefault="00D47726">
      <w:pPr>
        <w:rPr>
          <w:b/>
          <w:sz w:val="16"/>
          <w:szCs w:val="16"/>
        </w:rPr>
      </w:pPr>
      <w:r>
        <w:rPr>
          <w:b/>
          <w:sz w:val="24"/>
          <w:szCs w:val="24"/>
        </w:rPr>
        <w:br w:type="page"/>
      </w:r>
    </w:p>
    <w:p w:rsidR="00676195" w:rsidRDefault="00625F29" w:rsidP="00D47726">
      <w:pPr>
        <w:pStyle w:val="BodyTextIndent"/>
        <w:numPr>
          <w:ilvl w:val="0"/>
          <w:numId w:val="18"/>
        </w:numPr>
        <w:ind w:left="426" w:hanging="426"/>
        <w:rPr>
          <w:b/>
          <w:color w:val="000000"/>
          <w:szCs w:val="24"/>
        </w:rPr>
      </w:pPr>
      <w:r w:rsidRPr="00D87B8C">
        <w:rPr>
          <w:b/>
          <w:szCs w:val="24"/>
        </w:rPr>
        <w:lastRenderedPageBreak/>
        <w:t xml:space="preserve">Prior Period Adjustments/Unrecorded Income </w:t>
      </w:r>
      <w:r w:rsidR="001304F2">
        <w:rPr>
          <w:b/>
          <w:szCs w:val="24"/>
        </w:rPr>
        <w:t>and</w:t>
      </w:r>
      <w:r w:rsidRPr="00D87B8C">
        <w:rPr>
          <w:b/>
          <w:szCs w:val="24"/>
        </w:rPr>
        <w:t xml:space="preserve"> Expenses</w:t>
      </w:r>
    </w:p>
    <w:p w:rsidR="008104A1" w:rsidRDefault="008104A1" w:rsidP="000619A5">
      <w:pPr>
        <w:rPr>
          <w:b/>
          <w:color w:val="000000"/>
          <w:sz w:val="24"/>
          <w:szCs w:val="24"/>
        </w:rPr>
      </w:pPr>
    </w:p>
    <w:p w:rsidR="00C74747" w:rsidRDefault="00D87B8C" w:rsidP="00D47726">
      <w:pPr>
        <w:ind w:left="426"/>
        <w:jc w:val="both"/>
        <w:rPr>
          <w:b/>
          <w:sz w:val="24"/>
          <w:szCs w:val="24"/>
        </w:rPr>
      </w:pPr>
      <w:r w:rsidRPr="00D87B8C">
        <w:rPr>
          <w:sz w:val="24"/>
          <w:szCs w:val="24"/>
        </w:rPr>
        <w:t xml:space="preserve">This refers to the effect of prior period adjustments derived from the </w:t>
      </w:r>
      <w:r w:rsidR="00454FD6">
        <w:rPr>
          <w:sz w:val="24"/>
          <w:szCs w:val="24"/>
        </w:rPr>
        <w:t>reversion</w:t>
      </w:r>
      <w:r w:rsidRPr="00D87B8C">
        <w:rPr>
          <w:sz w:val="24"/>
          <w:szCs w:val="24"/>
        </w:rPr>
        <w:t xml:space="preserve"> of cash account due to stale</w:t>
      </w:r>
      <w:r>
        <w:rPr>
          <w:sz w:val="24"/>
          <w:szCs w:val="24"/>
        </w:rPr>
        <w:t>/cancelled checks issued in 2015</w:t>
      </w:r>
      <w:r w:rsidRPr="00D87B8C">
        <w:rPr>
          <w:sz w:val="24"/>
          <w:szCs w:val="24"/>
        </w:rPr>
        <w:t xml:space="preserve"> and other adjustments resulting to the increase of Net Assets/Equity.</w:t>
      </w:r>
    </w:p>
    <w:p w:rsidR="00B20D91" w:rsidRDefault="00B20D91" w:rsidP="000619A5">
      <w:pPr>
        <w:rPr>
          <w:b/>
          <w:sz w:val="24"/>
          <w:szCs w:val="24"/>
        </w:rPr>
      </w:pPr>
    </w:p>
    <w:p w:rsidR="00E111B5" w:rsidRDefault="00E111B5" w:rsidP="00D47726">
      <w:pPr>
        <w:pStyle w:val="BodyTextIndent"/>
        <w:numPr>
          <w:ilvl w:val="0"/>
          <w:numId w:val="18"/>
        </w:numPr>
        <w:ind w:left="426" w:hanging="426"/>
        <w:rPr>
          <w:b/>
        </w:rPr>
      </w:pPr>
      <w:r>
        <w:rPr>
          <w:b/>
        </w:rPr>
        <w:t>Accumulated Surplus</w:t>
      </w:r>
    </w:p>
    <w:p w:rsidR="00E111B5" w:rsidRDefault="00E111B5" w:rsidP="00E111B5">
      <w:pPr>
        <w:tabs>
          <w:tab w:val="left" w:pos="360"/>
        </w:tabs>
        <w:jc w:val="both"/>
        <w:rPr>
          <w:sz w:val="24"/>
        </w:rPr>
      </w:pPr>
    </w:p>
    <w:p w:rsidR="00E111B5" w:rsidRDefault="00E111B5" w:rsidP="00D47726">
      <w:pPr>
        <w:ind w:left="426"/>
        <w:jc w:val="both"/>
        <w:rPr>
          <w:sz w:val="24"/>
        </w:rPr>
      </w:pPr>
      <w:r w:rsidRPr="00044CDC">
        <w:rPr>
          <w:sz w:val="24"/>
        </w:rPr>
        <w:t>Th</w:t>
      </w:r>
      <w:r>
        <w:rPr>
          <w:sz w:val="24"/>
        </w:rPr>
        <w:t>e</w:t>
      </w:r>
      <w:r w:rsidR="00155FD9">
        <w:rPr>
          <w:sz w:val="24"/>
        </w:rPr>
        <w:t xml:space="preserve"> </w:t>
      </w:r>
      <w:r>
        <w:rPr>
          <w:sz w:val="24"/>
        </w:rPr>
        <w:t>accumulated surplus account balance as at December 31, 2016 is presented as follows:</w:t>
      </w:r>
    </w:p>
    <w:p w:rsidR="00D6655F" w:rsidRDefault="00D6655F" w:rsidP="00E111B5">
      <w:pPr>
        <w:jc w:val="both"/>
        <w:rPr>
          <w:sz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D6655F" w:rsidRPr="00780E04" w:rsidTr="00780E04">
        <w:trPr>
          <w:trHeight w:val="259"/>
          <w:tblHeader/>
        </w:trPr>
        <w:tc>
          <w:tcPr>
            <w:tcW w:w="4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55F" w:rsidRPr="00780E04" w:rsidRDefault="00155FD9" w:rsidP="009447D0">
            <w:pPr>
              <w:jc w:val="center"/>
              <w:rPr>
                <w:b/>
                <w:bCs/>
                <w:color w:val="000000"/>
                <w:sz w:val="22"/>
                <w:lang w:val="en-PH"/>
              </w:rPr>
            </w:pPr>
            <w:r w:rsidRPr="009669C6">
              <w:rPr>
                <w:b/>
                <w:bCs/>
                <w:color w:val="000000"/>
                <w:sz w:val="22"/>
                <w:lang w:val="en-PH"/>
              </w:rPr>
              <w:t>Particulars</w:t>
            </w:r>
          </w:p>
        </w:tc>
        <w:tc>
          <w:tcPr>
            <w:tcW w:w="189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6655F" w:rsidRPr="00780E04" w:rsidRDefault="00D6655F" w:rsidP="009447D0">
            <w:pPr>
              <w:jc w:val="center"/>
              <w:rPr>
                <w:b/>
                <w:bCs/>
                <w:color w:val="000000"/>
                <w:sz w:val="22"/>
                <w:lang w:val="en-PH"/>
              </w:rPr>
            </w:pPr>
            <w:r w:rsidRPr="00780E04">
              <w:rPr>
                <w:b/>
                <w:bCs/>
                <w:color w:val="000000"/>
                <w:sz w:val="22"/>
                <w:lang w:val="en-PH"/>
              </w:rPr>
              <w:t>2016</w:t>
            </w:r>
          </w:p>
        </w:tc>
        <w:tc>
          <w:tcPr>
            <w:tcW w:w="1710" w:type="dxa"/>
            <w:tcBorders>
              <w:top w:val="single" w:sz="4" w:space="0" w:color="auto"/>
              <w:left w:val="single" w:sz="4" w:space="0" w:color="auto"/>
              <w:bottom w:val="single" w:sz="4" w:space="0" w:color="auto"/>
              <w:right w:val="single" w:sz="4" w:space="0" w:color="auto"/>
            </w:tcBorders>
            <w:shd w:val="clear" w:color="auto" w:fill="auto"/>
            <w:vAlign w:val="center"/>
          </w:tcPr>
          <w:p w:rsidR="00D6655F" w:rsidRPr="00780E04" w:rsidRDefault="00D6655F" w:rsidP="009447D0">
            <w:pPr>
              <w:jc w:val="center"/>
              <w:rPr>
                <w:b/>
                <w:bCs/>
                <w:color w:val="000000"/>
                <w:sz w:val="22"/>
                <w:lang w:val="en-PH"/>
              </w:rPr>
            </w:pPr>
            <w:r w:rsidRPr="00780E04">
              <w:rPr>
                <w:b/>
                <w:bCs/>
                <w:color w:val="000000"/>
                <w:sz w:val="22"/>
                <w:lang w:val="en-PH"/>
              </w:rPr>
              <w:t>2015</w:t>
            </w:r>
          </w:p>
        </w:tc>
      </w:tr>
      <w:tr w:rsidR="00D6655F" w:rsidRPr="00780E04" w:rsidTr="00780E04">
        <w:trPr>
          <w:trHeight w:val="259"/>
        </w:trPr>
        <w:tc>
          <w:tcPr>
            <w:tcW w:w="4680" w:type="dxa"/>
            <w:shd w:val="clear" w:color="auto" w:fill="auto"/>
            <w:noWrap/>
            <w:vAlign w:val="center"/>
            <w:hideMark/>
          </w:tcPr>
          <w:p w:rsidR="00D6655F" w:rsidRPr="00780E04" w:rsidRDefault="00D6655F" w:rsidP="00A0681C">
            <w:pPr>
              <w:rPr>
                <w:color w:val="000000"/>
                <w:sz w:val="22"/>
                <w:lang w:val="en-PH"/>
              </w:rPr>
            </w:pPr>
            <w:r w:rsidRPr="00780E04">
              <w:rPr>
                <w:color w:val="000000"/>
                <w:sz w:val="22"/>
                <w:lang w:val="en-PH"/>
              </w:rPr>
              <w:t>Balance at January 1, 2016</w:t>
            </w:r>
          </w:p>
        </w:tc>
        <w:tc>
          <w:tcPr>
            <w:tcW w:w="1890" w:type="dxa"/>
            <w:shd w:val="clear" w:color="auto" w:fill="auto"/>
            <w:noWrap/>
            <w:hideMark/>
          </w:tcPr>
          <w:p w:rsidR="00D6655F" w:rsidRPr="00780E04" w:rsidRDefault="00D6655F" w:rsidP="00780E04">
            <w:pPr>
              <w:jc w:val="right"/>
              <w:rPr>
                <w:color w:val="000000"/>
                <w:sz w:val="22"/>
                <w:lang w:val="en-PH"/>
              </w:rPr>
            </w:pPr>
            <w:r w:rsidRPr="00780E04">
              <w:rPr>
                <w:color w:val="000000"/>
                <w:sz w:val="22"/>
                <w:lang w:val="en-PH"/>
              </w:rPr>
              <w:t>548,978,167.90</w:t>
            </w:r>
          </w:p>
        </w:tc>
        <w:tc>
          <w:tcPr>
            <w:tcW w:w="1710" w:type="dxa"/>
            <w:shd w:val="clear" w:color="auto" w:fill="auto"/>
          </w:tcPr>
          <w:p w:rsidR="00D6655F" w:rsidRPr="00780E04" w:rsidRDefault="00D6655F" w:rsidP="00780E04">
            <w:pPr>
              <w:jc w:val="right"/>
              <w:rPr>
                <w:color w:val="000000"/>
                <w:sz w:val="22"/>
                <w:lang w:val="en-PH"/>
              </w:rPr>
            </w:pPr>
            <w:r w:rsidRPr="00780E04">
              <w:rPr>
                <w:color w:val="000000"/>
                <w:sz w:val="22"/>
                <w:lang w:val="en-PH"/>
              </w:rPr>
              <w:t>443,532,447.10</w:t>
            </w:r>
          </w:p>
        </w:tc>
      </w:tr>
      <w:tr w:rsidR="00D6655F" w:rsidRPr="00780E04" w:rsidTr="00780E04">
        <w:trPr>
          <w:trHeight w:val="259"/>
        </w:trPr>
        <w:tc>
          <w:tcPr>
            <w:tcW w:w="4680" w:type="dxa"/>
            <w:shd w:val="clear" w:color="auto" w:fill="auto"/>
            <w:noWrap/>
            <w:vAlign w:val="center"/>
            <w:hideMark/>
          </w:tcPr>
          <w:p w:rsidR="00D6655F" w:rsidRPr="00780E04" w:rsidRDefault="00D6655F" w:rsidP="00A0681C">
            <w:pPr>
              <w:rPr>
                <w:color w:val="000000"/>
                <w:sz w:val="22"/>
                <w:lang w:val="en-PH"/>
              </w:rPr>
            </w:pPr>
            <w:r w:rsidRPr="00780E04">
              <w:rPr>
                <w:color w:val="000000"/>
                <w:sz w:val="22"/>
                <w:lang w:val="en-PH"/>
              </w:rPr>
              <w:t xml:space="preserve">Add (Deduct):  </w:t>
            </w:r>
          </w:p>
        </w:tc>
        <w:tc>
          <w:tcPr>
            <w:tcW w:w="1890" w:type="dxa"/>
            <w:shd w:val="clear" w:color="auto" w:fill="auto"/>
            <w:noWrap/>
            <w:hideMark/>
          </w:tcPr>
          <w:p w:rsidR="00D6655F" w:rsidRPr="00780E04" w:rsidRDefault="00D6655F" w:rsidP="00780E04">
            <w:pPr>
              <w:jc w:val="right"/>
              <w:rPr>
                <w:color w:val="000000"/>
                <w:sz w:val="22"/>
                <w:lang w:val="en-PH"/>
              </w:rPr>
            </w:pPr>
            <w:r w:rsidRPr="00780E04">
              <w:rPr>
                <w:color w:val="000000"/>
                <w:sz w:val="22"/>
                <w:lang w:val="en-PH"/>
              </w:rPr>
              <w:t> </w:t>
            </w:r>
          </w:p>
        </w:tc>
        <w:tc>
          <w:tcPr>
            <w:tcW w:w="1710" w:type="dxa"/>
            <w:shd w:val="clear" w:color="auto" w:fill="auto"/>
          </w:tcPr>
          <w:p w:rsidR="00D6655F" w:rsidRPr="00780E04" w:rsidRDefault="00D6655F" w:rsidP="00780E04">
            <w:pPr>
              <w:jc w:val="right"/>
              <w:rPr>
                <w:color w:val="000000"/>
                <w:sz w:val="22"/>
                <w:lang w:val="en-PH"/>
              </w:rPr>
            </w:pPr>
          </w:p>
        </w:tc>
      </w:tr>
      <w:tr w:rsidR="00D6655F" w:rsidRPr="00780E04" w:rsidTr="00780E04">
        <w:trPr>
          <w:trHeight w:val="259"/>
        </w:trPr>
        <w:tc>
          <w:tcPr>
            <w:tcW w:w="4680" w:type="dxa"/>
            <w:shd w:val="clear" w:color="auto" w:fill="auto"/>
            <w:noWrap/>
            <w:vAlign w:val="center"/>
            <w:hideMark/>
          </w:tcPr>
          <w:p w:rsidR="00D6655F" w:rsidRPr="00780E04" w:rsidRDefault="00D6655F" w:rsidP="00780E04">
            <w:pPr>
              <w:rPr>
                <w:color w:val="000000"/>
                <w:sz w:val="22"/>
                <w:lang w:val="en-PH"/>
              </w:rPr>
            </w:pPr>
            <w:r w:rsidRPr="00780E04">
              <w:rPr>
                <w:color w:val="000000"/>
                <w:sz w:val="22"/>
                <w:lang w:val="en-PH"/>
              </w:rPr>
              <w:t>Prior Period Adjustments/ Unrecorded Income and Expenses</w:t>
            </w:r>
          </w:p>
        </w:tc>
        <w:tc>
          <w:tcPr>
            <w:tcW w:w="1890" w:type="dxa"/>
            <w:shd w:val="clear" w:color="auto" w:fill="auto"/>
            <w:noWrap/>
            <w:hideMark/>
          </w:tcPr>
          <w:p w:rsidR="00D6655F" w:rsidRPr="00780E04" w:rsidRDefault="00D6655F" w:rsidP="00780E04">
            <w:pPr>
              <w:jc w:val="right"/>
              <w:rPr>
                <w:color w:val="000000"/>
                <w:sz w:val="22"/>
              </w:rPr>
            </w:pPr>
            <w:r w:rsidRPr="00780E04">
              <w:rPr>
                <w:color w:val="000000"/>
                <w:sz w:val="22"/>
              </w:rPr>
              <w:t>(2,127,998.68)</w:t>
            </w:r>
          </w:p>
        </w:tc>
        <w:tc>
          <w:tcPr>
            <w:tcW w:w="1710" w:type="dxa"/>
            <w:shd w:val="clear" w:color="auto" w:fill="auto"/>
          </w:tcPr>
          <w:p w:rsidR="00D6655F" w:rsidRPr="00780E04" w:rsidRDefault="00D6655F" w:rsidP="00780E04">
            <w:pPr>
              <w:jc w:val="right"/>
              <w:rPr>
                <w:color w:val="000000"/>
                <w:sz w:val="22"/>
              </w:rPr>
            </w:pPr>
            <w:r w:rsidRPr="00780E04">
              <w:rPr>
                <w:color w:val="000000"/>
                <w:sz w:val="22"/>
              </w:rPr>
              <w:t>250,371.05</w:t>
            </w:r>
          </w:p>
        </w:tc>
      </w:tr>
      <w:tr w:rsidR="00D6655F" w:rsidRPr="00780E04" w:rsidTr="00780E04">
        <w:trPr>
          <w:trHeight w:val="259"/>
        </w:trPr>
        <w:tc>
          <w:tcPr>
            <w:tcW w:w="4680" w:type="dxa"/>
            <w:shd w:val="clear" w:color="auto" w:fill="auto"/>
            <w:noWrap/>
            <w:vAlign w:val="center"/>
            <w:hideMark/>
          </w:tcPr>
          <w:p w:rsidR="00D6655F" w:rsidRPr="00780E04" w:rsidRDefault="00616143" w:rsidP="00616143">
            <w:pPr>
              <w:rPr>
                <w:color w:val="000000"/>
                <w:sz w:val="22"/>
                <w:lang w:val="en-PH"/>
              </w:rPr>
            </w:pPr>
            <w:r w:rsidRPr="00780E04">
              <w:rPr>
                <w:color w:val="000000"/>
                <w:sz w:val="22"/>
                <w:lang w:val="en-PH"/>
              </w:rPr>
              <w:t>Surplus for the period</w:t>
            </w:r>
          </w:p>
        </w:tc>
        <w:tc>
          <w:tcPr>
            <w:tcW w:w="1890" w:type="dxa"/>
            <w:shd w:val="clear" w:color="auto" w:fill="auto"/>
            <w:noWrap/>
            <w:hideMark/>
          </w:tcPr>
          <w:p w:rsidR="00D6655F" w:rsidRPr="00780E04" w:rsidRDefault="00D6655F" w:rsidP="00780E04">
            <w:pPr>
              <w:jc w:val="right"/>
              <w:rPr>
                <w:color w:val="000000"/>
                <w:sz w:val="22"/>
                <w:lang w:val="en-PH"/>
              </w:rPr>
            </w:pPr>
            <w:r w:rsidRPr="00780E04">
              <w:rPr>
                <w:color w:val="000000"/>
                <w:sz w:val="22"/>
                <w:lang w:val="en-PH"/>
              </w:rPr>
              <w:t> 79,861,936.99</w:t>
            </w:r>
          </w:p>
        </w:tc>
        <w:tc>
          <w:tcPr>
            <w:tcW w:w="1710" w:type="dxa"/>
            <w:shd w:val="clear" w:color="auto" w:fill="auto"/>
          </w:tcPr>
          <w:p w:rsidR="00D6655F" w:rsidRPr="00780E04" w:rsidRDefault="00D6655F" w:rsidP="00780E04">
            <w:pPr>
              <w:jc w:val="right"/>
              <w:rPr>
                <w:color w:val="000000"/>
                <w:sz w:val="22"/>
                <w:lang w:val="en-PH"/>
              </w:rPr>
            </w:pPr>
            <w:r w:rsidRPr="00780E04">
              <w:rPr>
                <w:color w:val="000000"/>
                <w:sz w:val="22"/>
                <w:lang w:val="en-PH"/>
              </w:rPr>
              <w:t>105,195,349.75</w:t>
            </w:r>
          </w:p>
        </w:tc>
      </w:tr>
      <w:tr w:rsidR="00D6655F" w:rsidRPr="00780E04" w:rsidTr="00780E04">
        <w:trPr>
          <w:trHeight w:val="259"/>
        </w:trPr>
        <w:tc>
          <w:tcPr>
            <w:tcW w:w="4680" w:type="dxa"/>
            <w:shd w:val="clear" w:color="auto" w:fill="auto"/>
            <w:noWrap/>
            <w:vAlign w:val="center"/>
            <w:hideMark/>
          </w:tcPr>
          <w:p w:rsidR="00D6655F" w:rsidRPr="00780E04" w:rsidRDefault="00D6655F" w:rsidP="00A0681C">
            <w:pPr>
              <w:rPr>
                <w:b/>
                <w:bCs/>
                <w:color w:val="000000"/>
                <w:sz w:val="22"/>
                <w:lang w:val="en-PH"/>
              </w:rPr>
            </w:pPr>
            <w:r w:rsidRPr="00780E04">
              <w:rPr>
                <w:b/>
                <w:bCs/>
                <w:color w:val="000000"/>
                <w:sz w:val="22"/>
                <w:lang w:val="en-PH"/>
              </w:rPr>
              <w:t>Balance at December 31, 2016</w:t>
            </w:r>
          </w:p>
        </w:tc>
        <w:tc>
          <w:tcPr>
            <w:tcW w:w="1890" w:type="dxa"/>
            <w:shd w:val="clear" w:color="auto" w:fill="auto"/>
            <w:noWrap/>
            <w:vAlign w:val="center"/>
            <w:hideMark/>
          </w:tcPr>
          <w:p w:rsidR="00D6655F" w:rsidRPr="00780E04" w:rsidRDefault="00D6655F" w:rsidP="00A0681C">
            <w:pPr>
              <w:jc w:val="right"/>
              <w:rPr>
                <w:b/>
                <w:color w:val="000000"/>
                <w:sz w:val="22"/>
                <w:lang w:val="en-PH"/>
              </w:rPr>
            </w:pPr>
            <w:r w:rsidRPr="00780E04">
              <w:rPr>
                <w:b/>
                <w:color w:val="000000"/>
                <w:sz w:val="22"/>
                <w:lang w:val="en-PH"/>
              </w:rPr>
              <w:t>626,712,106.21</w:t>
            </w:r>
          </w:p>
        </w:tc>
        <w:tc>
          <w:tcPr>
            <w:tcW w:w="1710" w:type="dxa"/>
            <w:shd w:val="clear" w:color="auto" w:fill="auto"/>
            <w:vAlign w:val="center"/>
          </w:tcPr>
          <w:p w:rsidR="00D6655F" w:rsidRPr="00780E04" w:rsidRDefault="00D6655F" w:rsidP="00A0681C">
            <w:pPr>
              <w:jc w:val="right"/>
              <w:rPr>
                <w:b/>
                <w:color w:val="000000"/>
                <w:sz w:val="22"/>
                <w:lang w:val="en-PH"/>
              </w:rPr>
            </w:pPr>
            <w:r w:rsidRPr="00780E04">
              <w:rPr>
                <w:b/>
                <w:color w:val="000000"/>
                <w:sz w:val="22"/>
                <w:lang w:val="en-PH"/>
              </w:rPr>
              <w:t>548,978,167.90</w:t>
            </w:r>
          </w:p>
        </w:tc>
      </w:tr>
    </w:tbl>
    <w:p w:rsidR="006F7F88" w:rsidRDefault="006F7F88" w:rsidP="00991002">
      <w:pPr>
        <w:pStyle w:val="BodyTextIndent"/>
        <w:ind w:firstLine="0"/>
        <w:rPr>
          <w:b/>
          <w:szCs w:val="24"/>
        </w:rPr>
      </w:pPr>
    </w:p>
    <w:p w:rsidR="00616143" w:rsidRPr="00616143" w:rsidRDefault="00B20D91" w:rsidP="00D47726">
      <w:pPr>
        <w:pStyle w:val="BodyTextIndent"/>
        <w:numPr>
          <w:ilvl w:val="0"/>
          <w:numId w:val="18"/>
        </w:numPr>
        <w:ind w:left="426" w:hanging="426"/>
        <w:rPr>
          <w:b/>
          <w:szCs w:val="24"/>
        </w:rPr>
      </w:pPr>
      <w:r>
        <w:rPr>
          <w:b/>
          <w:szCs w:val="24"/>
        </w:rPr>
        <w:t>Financial Assistance Subsidy</w:t>
      </w:r>
    </w:p>
    <w:p w:rsidR="00DB2746" w:rsidRPr="00991002" w:rsidRDefault="00DB2746" w:rsidP="00DB2746">
      <w:pPr>
        <w:tabs>
          <w:tab w:val="left" w:pos="900"/>
        </w:tabs>
        <w:jc w:val="both"/>
        <w:rPr>
          <w:b/>
          <w:i/>
          <w:sz w:val="22"/>
          <w:szCs w:val="24"/>
        </w:rPr>
      </w:pPr>
    </w:p>
    <w:p w:rsidR="00DB2746" w:rsidRDefault="00DB2746" w:rsidP="00D47726">
      <w:pPr>
        <w:ind w:left="426"/>
        <w:jc w:val="both"/>
        <w:rPr>
          <w:sz w:val="24"/>
        </w:rPr>
      </w:pPr>
      <w:r w:rsidRPr="00697E50">
        <w:rPr>
          <w:sz w:val="24"/>
        </w:rPr>
        <w:t xml:space="preserve">The </w:t>
      </w:r>
      <w:r>
        <w:rPr>
          <w:sz w:val="24"/>
        </w:rPr>
        <w:t>t</w:t>
      </w:r>
      <w:r w:rsidRPr="00697E50">
        <w:rPr>
          <w:sz w:val="24"/>
        </w:rPr>
        <w:t xml:space="preserve">otal </w:t>
      </w:r>
      <w:r>
        <w:rPr>
          <w:sz w:val="24"/>
        </w:rPr>
        <w:t>n</w:t>
      </w:r>
      <w:r w:rsidRPr="00697E50">
        <w:rPr>
          <w:sz w:val="24"/>
        </w:rPr>
        <w:t xml:space="preserve">et financial </w:t>
      </w:r>
      <w:r>
        <w:rPr>
          <w:sz w:val="24"/>
        </w:rPr>
        <w:t>a</w:t>
      </w:r>
      <w:r w:rsidR="004A7C66">
        <w:rPr>
          <w:sz w:val="24"/>
        </w:rPr>
        <w:t>ssistance</w:t>
      </w:r>
      <w:r w:rsidRPr="00697E50">
        <w:rPr>
          <w:sz w:val="24"/>
        </w:rPr>
        <w:t>/</w:t>
      </w:r>
      <w:r>
        <w:rPr>
          <w:sz w:val="24"/>
        </w:rPr>
        <w:t xml:space="preserve">subsidy </w:t>
      </w:r>
      <w:r w:rsidR="00EC6F16">
        <w:rPr>
          <w:sz w:val="24"/>
        </w:rPr>
        <w:t>consists</w:t>
      </w:r>
      <w:r>
        <w:rPr>
          <w:sz w:val="24"/>
        </w:rPr>
        <w:t xml:space="preserve"> of the following:</w:t>
      </w:r>
    </w:p>
    <w:p w:rsidR="00DB2746" w:rsidRPr="00991002" w:rsidRDefault="00DB2746" w:rsidP="00DB2746">
      <w:pPr>
        <w:tabs>
          <w:tab w:val="left" w:pos="360"/>
        </w:tabs>
        <w:ind w:left="360" w:firstLine="720"/>
        <w:jc w:val="both"/>
        <w:rPr>
          <w:sz w:val="22"/>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0"/>
        <w:gridCol w:w="1890"/>
        <w:gridCol w:w="1710"/>
      </w:tblGrid>
      <w:tr w:rsidR="00EC6F16" w:rsidRPr="00780E04" w:rsidTr="00780E04">
        <w:trPr>
          <w:trHeight w:val="259"/>
          <w:tblHeader/>
        </w:trPr>
        <w:tc>
          <w:tcPr>
            <w:tcW w:w="4680" w:type="dxa"/>
            <w:shd w:val="clear" w:color="auto" w:fill="auto"/>
            <w:noWrap/>
            <w:vAlign w:val="center"/>
            <w:hideMark/>
          </w:tcPr>
          <w:p w:rsidR="00EC6F16" w:rsidRPr="00780E04" w:rsidRDefault="00155FD9" w:rsidP="00686091">
            <w:pPr>
              <w:jc w:val="center"/>
              <w:rPr>
                <w:b/>
                <w:bCs/>
                <w:color w:val="000000"/>
                <w:sz w:val="22"/>
                <w:lang w:val="en-PH"/>
              </w:rPr>
            </w:pPr>
            <w:r w:rsidRPr="009669C6">
              <w:rPr>
                <w:b/>
                <w:bCs/>
                <w:color w:val="000000"/>
                <w:sz w:val="22"/>
                <w:lang w:val="en-PH"/>
              </w:rPr>
              <w:t>Particulars</w:t>
            </w:r>
          </w:p>
        </w:tc>
        <w:tc>
          <w:tcPr>
            <w:tcW w:w="1890" w:type="dxa"/>
            <w:shd w:val="clear" w:color="auto" w:fill="auto"/>
            <w:noWrap/>
            <w:vAlign w:val="center"/>
            <w:hideMark/>
          </w:tcPr>
          <w:p w:rsidR="00EC6F16" w:rsidRPr="00780E04" w:rsidRDefault="00EC6F16" w:rsidP="00686091">
            <w:pPr>
              <w:jc w:val="center"/>
              <w:rPr>
                <w:b/>
                <w:bCs/>
                <w:color w:val="000000"/>
                <w:sz w:val="22"/>
                <w:lang w:val="en-PH"/>
              </w:rPr>
            </w:pPr>
            <w:r w:rsidRPr="00780E04">
              <w:rPr>
                <w:b/>
                <w:bCs/>
                <w:color w:val="000000"/>
                <w:sz w:val="22"/>
                <w:lang w:val="en-PH"/>
              </w:rPr>
              <w:t>2016</w:t>
            </w:r>
          </w:p>
        </w:tc>
        <w:tc>
          <w:tcPr>
            <w:tcW w:w="1710" w:type="dxa"/>
            <w:shd w:val="clear" w:color="auto" w:fill="auto"/>
            <w:noWrap/>
            <w:vAlign w:val="center"/>
            <w:hideMark/>
          </w:tcPr>
          <w:p w:rsidR="00EC6F16" w:rsidRPr="00780E04" w:rsidRDefault="00EC6F16" w:rsidP="00686091">
            <w:pPr>
              <w:jc w:val="center"/>
              <w:rPr>
                <w:b/>
                <w:bCs/>
                <w:color w:val="000000"/>
                <w:sz w:val="22"/>
                <w:lang w:val="en-PH"/>
              </w:rPr>
            </w:pPr>
            <w:r w:rsidRPr="00780E04">
              <w:rPr>
                <w:b/>
                <w:bCs/>
                <w:color w:val="000000"/>
                <w:sz w:val="22"/>
                <w:lang w:val="en-PH"/>
              </w:rPr>
              <w:t>2015</w:t>
            </w:r>
          </w:p>
        </w:tc>
      </w:tr>
      <w:tr w:rsidR="00EC6F16" w:rsidRPr="00780E04" w:rsidTr="00780E04">
        <w:trPr>
          <w:trHeight w:val="259"/>
        </w:trPr>
        <w:tc>
          <w:tcPr>
            <w:tcW w:w="4680" w:type="dxa"/>
            <w:shd w:val="clear" w:color="auto" w:fill="auto"/>
            <w:noWrap/>
            <w:vAlign w:val="center"/>
            <w:hideMark/>
          </w:tcPr>
          <w:p w:rsidR="00EC6F16" w:rsidRPr="00780E04" w:rsidRDefault="00EC6F16" w:rsidP="00686091">
            <w:pPr>
              <w:rPr>
                <w:color w:val="000000"/>
                <w:sz w:val="22"/>
                <w:lang w:val="en-PH"/>
              </w:rPr>
            </w:pPr>
            <w:proofErr w:type="spellStart"/>
            <w:r w:rsidRPr="00780E04">
              <w:rPr>
                <w:color w:val="000000"/>
                <w:sz w:val="22"/>
                <w:lang w:val="en-PH"/>
              </w:rPr>
              <w:t>NCAreceived</w:t>
            </w:r>
            <w:proofErr w:type="spellEnd"/>
            <w:r w:rsidRPr="00780E04">
              <w:rPr>
                <w:color w:val="000000"/>
                <w:sz w:val="22"/>
                <w:lang w:val="en-PH"/>
              </w:rPr>
              <w:t xml:space="preserve"> for the year</w:t>
            </w:r>
          </w:p>
        </w:tc>
        <w:tc>
          <w:tcPr>
            <w:tcW w:w="1890" w:type="dxa"/>
            <w:shd w:val="clear" w:color="auto" w:fill="auto"/>
            <w:noWrap/>
            <w:vAlign w:val="center"/>
            <w:hideMark/>
          </w:tcPr>
          <w:p w:rsidR="00EC6F16" w:rsidRPr="00780E04" w:rsidRDefault="00EC6F16" w:rsidP="00686091">
            <w:pPr>
              <w:jc w:val="right"/>
              <w:rPr>
                <w:rFonts w:ascii="Bookman Old Style" w:hAnsi="Bookman Old Style" w:cs="Arial"/>
                <w:bCs/>
                <w:color w:val="000000"/>
                <w:sz w:val="22"/>
              </w:rPr>
            </w:pPr>
            <w:r w:rsidRPr="00780E04">
              <w:rPr>
                <w:bCs/>
                <w:color w:val="000000"/>
                <w:sz w:val="22"/>
              </w:rPr>
              <w:t>88,739,121.00</w:t>
            </w:r>
          </w:p>
        </w:tc>
        <w:tc>
          <w:tcPr>
            <w:tcW w:w="1710" w:type="dxa"/>
            <w:shd w:val="clear" w:color="auto" w:fill="auto"/>
            <w:noWrap/>
            <w:vAlign w:val="center"/>
            <w:hideMark/>
          </w:tcPr>
          <w:p w:rsidR="00EC6F16" w:rsidRPr="00780E04" w:rsidRDefault="00EC6F16" w:rsidP="00686091">
            <w:pPr>
              <w:jc w:val="right"/>
              <w:rPr>
                <w:color w:val="000000"/>
                <w:sz w:val="22"/>
                <w:lang w:val="en-PH"/>
              </w:rPr>
            </w:pPr>
            <w:r w:rsidRPr="00780E04">
              <w:rPr>
                <w:color w:val="000000"/>
                <w:sz w:val="22"/>
                <w:lang w:val="en-PH"/>
              </w:rPr>
              <w:t>91,059,071.51</w:t>
            </w:r>
          </w:p>
        </w:tc>
      </w:tr>
      <w:tr w:rsidR="00EC6F16" w:rsidRPr="00780E04" w:rsidTr="00780E04">
        <w:trPr>
          <w:trHeight w:val="259"/>
        </w:trPr>
        <w:tc>
          <w:tcPr>
            <w:tcW w:w="4680" w:type="dxa"/>
            <w:shd w:val="clear" w:color="auto" w:fill="auto"/>
            <w:noWrap/>
            <w:vAlign w:val="center"/>
            <w:hideMark/>
          </w:tcPr>
          <w:p w:rsidR="00EC6F16" w:rsidRPr="00780E04" w:rsidRDefault="00EC6F16" w:rsidP="00686091">
            <w:pPr>
              <w:rPr>
                <w:color w:val="000000"/>
                <w:sz w:val="22"/>
                <w:lang w:val="en-PH"/>
              </w:rPr>
            </w:pPr>
            <w:r w:rsidRPr="00780E04">
              <w:rPr>
                <w:color w:val="000000"/>
                <w:sz w:val="22"/>
                <w:lang w:val="en-PH"/>
              </w:rPr>
              <w:t>Tax Remittance Advice (TRA)</w:t>
            </w:r>
          </w:p>
        </w:tc>
        <w:tc>
          <w:tcPr>
            <w:tcW w:w="1890" w:type="dxa"/>
            <w:shd w:val="clear" w:color="auto" w:fill="auto"/>
            <w:noWrap/>
            <w:vAlign w:val="center"/>
            <w:hideMark/>
          </w:tcPr>
          <w:p w:rsidR="00EC6F16" w:rsidRPr="00780E04" w:rsidRDefault="00EC6F16" w:rsidP="00686091">
            <w:pPr>
              <w:jc w:val="right"/>
              <w:rPr>
                <w:color w:val="000000"/>
                <w:sz w:val="22"/>
                <w:lang w:val="en-PH"/>
              </w:rPr>
            </w:pPr>
            <w:r w:rsidRPr="00780E04">
              <w:rPr>
                <w:color w:val="000000"/>
                <w:sz w:val="22"/>
                <w:lang w:val="en-PH"/>
              </w:rPr>
              <w:t>7,155,318.06</w:t>
            </w:r>
          </w:p>
        </w:tc>
        <w:tc>
          <w:tcPr>
            <w:tcW w:w="1710" w:type="dxa"/>
            <w:shd w:val="clear" w:color="auto" w:fill="auto"/>
            <w:noWrap/>
            <w:vAlign w:val="center"/>
            <w:hideMark/>
          </w:tcPr>
          <w:p w:rsidR="00EC6F16" w:rsidRPr="00780E04" w:rsidRDefault="00EC6F16" w:rsidP="00686091">
            <w:pPr>
              <w:jc w:val="right"/>
              <w:rPr>
                <w:color w:val="000000"/>
                <w:sz w:val="22"/>
                <w:lang w:val="en-PH"/>
              </w:rPr>
            </w:pPr>
            <w:r w:rsidRPr="00780E04">
              <w:rPr>
                <w:color w:val="000000"/>
                <w:sz w:val="22"/>
                <w:lang w:val="en-PH"/>
              </w:rPr>
              <w:t> 5,500,833.20</w:t>
            </w:r>
          </w:p>
        </w:tc>
      </w:tr>
      <w:tr w:rsidR="00EC6F16" w:rsidRPr="00780E04" w:rsidTr="00780E04">
        <w:trPr>
          <w:trHeight w:val="259"/>
        </w:trPr>
        <w:tc>
          <w:tcPr>
            <w:tcW w:w="4680" w:type="dxa"/>
            <w:shd w:val="clear" w:color="auto" w:fill="auto"/>
            <w:noWrap/>
            <w:vAlign w:val="center"/>
            <w:hideMark/>
          </w:tcPr>
          <w:p w:rsidR="00EC6F16" w:rsidRPr="00780E04" w:rsidRDefault="00EC6F16" w:rsidP="00686091">
            <w:pPr>
              <w:rPr>
                <w:color w:val="000000"/>
                <w:sz w:val="22"/>
                <w:lang w:val="en-PH"/>
              </w:rPr>
            </w:pPr>
            <w:r w:rsidRPr="00780E04">
              <w:rPr>
                <w:color w:val="000000"/>
                <w:sz w:val="22"/>
                <w:lang w:val="en-PH"/>
              </w:rPr>
              <w:t>Total</w:t>
            </w:r>
          </w:p>
        </w:tc>
        <w:tc>
          <w:tcPr>
            <w:tcW w:w="1890" w:type="dxa"/>
            <w:shd w:val="clear" w:color="auto" w:fill="auto"/>
            <w:noWrap/>
            <w:vAlign w:val="center"/>
            <w:hideMark/>
          </w:tcPr>
          <w:p w:rsidR="00EC6F16" w:rsidRPr="00780E04" w:rsidRDefault="00EC6F16" w:rsidP="00686091">
            <w:pPr>
              <w:tabs>
                <w:tab w:val="left" w:pos="360"/>
              </w:tabs>
              <w:jc w:val="right"/>
              <w:rPr>
                <w:bCs/>
                <w:color w:val="000000"/>
                <w:sz w:val="22"/>
              </w:rPr>
            </w:pPr>
            <w:r w:rsidRPr="00780E04">
              <w:rPr>
                <w:bCs/>
                <w:color w:val="000000"/>
                <w:sz w:val="22"/>
              </w:rPr>
              <w:t>95,894,439.06</w:t>
            </w:r>
          </w:p>
        </w:tc>
        <w:tc>
          <w:tcPr>
            <w:tcW w:w="1710" w:type="dxa"/>
            <w:shd w:val="clear" w:color="auto" w:fill="auto"/>
            <w:noWrap/>
            <w:vAlign w:val="center"/>
            <w:hideMark/>
          </w:tcPr>
          <w:p w:rsidR="00EC6F16" w:rsidRPr="00780E04" w:rsidRDefault="00EC6F16" w:rsidP="00686091">
            <w:pPr>
              <w:jc w:val="right"/>
              <w:rPr>
                <w:color w:val="000000"/>
                <w:sz w:val="22"/>
                <w:lang w:val="en-PH"/>
              </w:rPr>
            </w:pPr>
            <w:r w:rsidRPr="00780E04">
              <w:rPr>
                <w:color w:val="000000"/>
                <w:sz w:val="22"/>
                <w:lang w:val="en-PH"/>
              </w:rPr>
              <w:t> 96,559,904.71</w:t>
            </w:r>
          </w:p>
        </w:tc>
      </w:tr>
      <w:tr w:rsidR="00EC6F16" w:rsidRPr="00780E04" w:rsidTr="00780E04">
        <w:trPr>
          <w:trHeight w:val="259"/>
        </w:trPr>
        <w:tc>
          <w:tcPr>
            <w:tcW w:w="4680" w:type="dxa"/>
            <w:shd w:val="clear" w:color="auto" w:fill="auto"/>
            <w:noWrap/>
            <w:vAlign w:val="center"/>
            <w:hideMark/>
          </w:tcPr>
          <w:p w:rsidR="00EC6F16" w:rsidRPr="00780E04" w:rsidRDefault="00EC6F16" w:rsidP="00686091">
            <w:pPr>
              <w:ind w:left="612" w:hanging="612"/>
              <w:rPr>
                <w:color w:val="000000"/>
                <w:sz w:val="22"/>
                <w:lang w:val="en-PH"/>
              </w:rPr>
            </w:pPr>
            <w:r w:rsidRPr="00780E04">
              <w:rPr>
                <w:color w:val="000000"/>
                <w:sz w:val="22"/>
                <w:lang w:val="en-PH"/>
              </w:rPr>
              <w:t>Less: Reversal of unutilized NCA</w:t>
            </w:r>
          </w:p>
        </w:tc>
        <w:tc>
          <w:tcPr>
            <w:tcW w:w="1890" w:type="dxa"/>
            <w:shd w:val="clear" w:color="auto" w:fill="auto"/>
            <w:noWrap/>
            <w:vAlign w:val="center"/>
          </w:tcPr>
          <w:p w:rsidR="00EC6F16" w:rsidRPr="00780E04" w:rsidRDefault="00EC6F16" w:rsidP="00686091">
            <w:pPr>
              <w:jc w:val="right"/>
              <w:rPr>
                <w:color w:val="000000"/>
                <w:sz w:val="22"/>
                <w:lang w:val="en-PH"/>
              </w:rPr>
            </w:pPr>
            <w:r w:rsidRPr="00780E04">
              <w:rPr>
                <w:color w:val="000000"/>
                <w:sz w:val="22"/>
                <w:lang w:val="en-PH"/>
              </w:rPr>
              <w:t>6,807,609.46</w:t>
            </w:r>
          </w:p>
        </w:tc>
        <w:tc>
          <w:tcPr>
            <w:tcW w:w="1710" w:type="dxa"/>
            <w:shd w:val="clear" w:color="auto" w:fill="auto"/>
            <w:noWrap/>
            <w:vAlign w:val="center"/>
            <w:hideMark/>
          </w:tcPr>
          <w:p w:rsidR="00EC6F16" w:rsidRPr="00780E04" w:rsidRDefault="00EC6F16" w:rsidP="00686091">
            <w:pPr>
              <w:jc w:val="right"/>
              <w:rPr>
                <w:color w:val="000000"/>
                <w:sz w:val="22"/>
                <w:lang w:val="en-PH"/>
              </w:rPr>
            </w:pPr>
            <w:r w:rsidRPr="00780E04">
              <w:rPr>
                <w:color w:val="000000"/>
                <w:sz w:val="22"/>
                <w:lang w:val="en-PH"/>
              </w:rPr>
              <w:t> 76,239.78</w:t>
            </w:r>
          </w:p>
        </w:tc>
      </w:tr>
      <w:tr w:rsidR="00EC6F16" w:rsidRPr="00780E04" w:rsidTr="00780E04">
        <w:trPr>
          <w:trHeight w:val="259"/>
        </w:trPr>
        <w:tc>
          <w:tcPr>
            <w:tcW w:w="4680" w:type="dxa"/>
            <w:shd w:val="clear" w:color="auto" w:fill="auto"/>
            <w:noWrap/>
            <w:vAlign w:val="center"/>
            <w:hideMark/>
          </w:tcPr>
          <w:p w:rsidR="00EC6F16" w:rsidRPr="00780E04" w:rsidRDefault="00EC6F16" w:rsidP="00686091">
            <w:pPr>
              <w:rPr>
                <w:b/>
                <w:bCs/>
                <w:color w:val="000000"/>
                <w:sz w:val="22"/>
                <w:lang w:val="en-PH"/>
              </w:rPr>
            </w:pPr>
            <w:r w:rsidRPr="00780E04">
              <w:rPr>
                <w:b/>
                <w:bCs/>
                <w:color w:val="000000"/>
                <w:sz w:val="22"/>
                <w:lang w:val="en-PH"/>
              </w:rPr>
              <w:t>Net Financial Assistance/Subsidy</w:t>
            </w:r>
          </w:p>
        </w:tc>
        <w:tc>
          <w:tcPr>
            <w:tcW w:w="1890" w:type="dxa"/>
            <w:shd w:val="clear" w:color="auto" w:fill="auto"/>
            <w:noWrap/>
            <w:vAlign w:val="center"/>
            <w:hideMark/>
          </w:tcPr>
          <w:p w:rsidR="00EC6F16" w:rsidRPr="00780E04" w:rsidRDefault="00EC6F16" w:rsidP="00686091">
            <w:pPr>
              <w:jc w:val="right"/>
              <w:rPr>
                <w:b/>
                <w:color w:val="000000"/>
                <w:sz w:val="22"/>
                <w:lang w:val="en-PH"/>
              </w:rPr>
            </w:pPr>
            <w:r w:rsidRPr="00780E04">
              <w:rPr>
                <w:b/>
                <w:color w:val="000000"/>
                <w:sz w:val="22"/>
                <w:lang w:val="en-PH"/>
              </w:rPr>
              <w:t>89,086,829.60</w:t>
            </w:r>
          </w:p>
        </w:tc>
        <w:tc>
          <w:tcPr>
            <w:tcW w:w="1710" w:type="dxa"/>
            <w:shd w:val="clear" w:color="auto" w:fill="auto"/>
            <w:noWrap/>
            <w:vAlign w:val="center"/>
            <w:hideMark/>
          </w:tcPr>
          <w:p w:rsidR="00EC6F16" w:rsidRPr="00780E04" w:rsidRDefault="00EC6F16" w:rsidP="00686091">
            <w:pPr>
              <w:jc w:val="right"/>
              <w:rPr>
                <w:color w:val="000000"/>
                <w:sz w:val="22"/>
                <w:lang w:val="en-PH"/>
              </w:rPr>
            </w:pPr>
            <w:r w:rsidRPr="00780E04">
              <w:rPr>
                <w:b/>
                <w:color w:val="000000"/>
                <w:sz w:val="22"/>
                <w:lang w:val="en-PH"/>
              </w:rPr>
              <w:t>96,483,664.93</w:t>
            </w:r>
          </w:p>
        </w:tc>
      </w:tr>
    </w:tbl>
    <w:p w:rsidR="00B20D91" w:rsidRPr="00991002" w:rsidRDefault="00B20D91" w:rsidP="000619A5">
      <w:pPr>
        <w:rPr>
          <w:b/>
          <w:sz w:val="22"/>
          <w:szCs w:val="24"/>
        </w:rPr>
      </w:pPr>
    </w:p>
    <w:p w:rsidR="00B20D91" w:rsidRDefault="00B20D91" w:rsidP="00616143">
      <w:pPr>
        <w:pStyle w:val="BodyTextIndent"/>
        <w:ind w:firstLine="0"/>
        <w:rPr>
          <w:szCs w:val="24"/>
        </w:rPr>
      </w:pPr>
      <w:r>
        <w:rPr>
          <w:szCs w:val="24"/>
        </w:rPr>
        <w:t>Subsidy from National Government consist</w:t>
      </w:r>
      <w:r w:rsidR="00F70988">
        <w:rPr>
          <w:szCs w:val="24"/>
        </w:rPr>
        <w:t>s</w:t>
      </w:r>
      <w:r>
        <w:rPr>
          <w:szCs w:val="24"/>
        </w:rPr>
        <w:t xml:space="preserve"> of </w:t>
      </w:r>
      <w:r w:rsidR="00955286">
        <w:rPr>
          <w:szCs w:val="24"/>
        </w:rPr>
        <w:t>NCA</w:t>
      </w:r>
      <w:r>
        <w:rPr>
          <w:szCs w:val="24"/>
        </w:rPr>
        <w:t xml:space="preserve"> received from</w:t>
      </w:r>
      <w:r w:rsidR="00AE377F">
        <w:rPr>
          <w:szCs w:val="24"/>
        </w:rPr>
        <w:t xml:space="preserve"> DBM and TRA</w:t>
      </w:r>
      <w:r w:rsidR="007014F7">
        <w:rPr>
          <w:szCs w:val="24"/>
        </w:rPr>
        <w:t>, net of cash refund and reversal of unutilized NCA to the National Treasury.</w:t>
      </w:r>
    </w:p>
    <w:p w:rsidR="009669C6" w:rsidRPr="00991002" w:rsidRDefault="009669C6" w:rsidP="000619A5">
      <w:pPr>
        <w:rPr>
          <w:sz w:val="22"/>
          <w:szCs w:val="24"/>
        </w:rPr>
      </w:pPr>
    </w:p>
    <w:p w:rsidR="00C820F4" w:rsidRDefault="00C820F4" w:rsidP="00D47726">
      <w:pPr>
        <w:pStyle w:val="BodyTextIndent"/>
        <w:numPr>
          <w:ilvl w:val="0"/>
          <w:numId w:val="18"/>
        </w:numPr>
        <w:ind w:left="426" w:hanging="426"/>
        <w:rPr>
          <w:b/>
          <w:szCs w:val="24"/>
        </w:rPr>
      </w:pPr>
      <w:r>
        <w:rPr>
          <w:b/>
          <w:szCs w:val="24"/>
        </w:rPr>
        <w:t>Comparison of Budget and Actual Amounts</w:t>
      </w:r>
    </w:p>
    <w:p w:rsidR="00C820F4" w:rsidRPr="00991002" w:rsidRDefault="00C820F4" w:rsidP="00124F98">
      <w:pPr>
        <w:tabs>
          <w:tab w:val="left" w:pos="4590"/>
          <w:tab w:val="left" w:pos="5130"/>
          <w:tab w:val="left" w:pos="7200"/>
          <w:tab w:val="left" w:pos="7290"/>
        </w:tabs>
        <w:rPr>
          <w:b/>
          <w:sz w:val="22"/>
          <w:szCs w:val="24"/>
        </w:rPr>
      </w:pPr>
    </w:p>
    <w:p w:rsidR="00C820F4" w:rsidRPr="00106174" w:rsidRDefault="00C820F4" w:rsidP="00D47726">
      <w:pPr>
        <w:tabs>
          <w:tab w:val="left" w:pos="4590"/>
          <w:tab w:val="left" w:pos="5130"/>
          <w:tab w:val="left" w:pos="7200"/>
          <w:tab w:val="left" w:pos="7290"/>
        </w:tabs>
        <w:ind w:left="426"/>
        <w:jc w:val="both"/>
        <w:rPr>
          <w:sz w:val="24"/>
          <w:szCs w:val="24"/>
        </w:rPr>
      </w:pPr>
      <w:r>
        <w:rPr>
          <w:sz w:val="24"/>
          <w:szCs w:val="24"/>
        </w:rPr>
        <w:t>The original budget for Person</w:t>
      </w:r>
      <w:r w:rsidR="00B07CD5">
        <w:rPr>
          <w:sz w:val="24"/>
          <w:szCs w:val="24"/>
        </w:rPr>
        <w:t>nel Services in the amount of ₱</w:t>
      </w:r>
      <w:r>
        <w:rPr>
          <w:sz w:val="24"/>
          <w:szCs w:val="24"/>
        </w:rPr>
        <w:t>7</w:t>
      </w:r>
      <w:r w:rsidR="00B07CD5">
        <w:rPr>
          <w:sz w:val="24"/>
          <w:szCs w:val="24"/>
        </w:rPr>
        <w:t>0,092,507.00 was increased to ₱</w:t>
      </w:r>
      <w:r>
        <w:rPr>
          <w:sz w:val="24"/>
          <w:szCs w:val="24"/>
        </w:rPr>
        <w:t>8,111,338.00 due to the receipt of Special Allotment Release Orders as shown in the List of Allotments and Sub-Allotments (FAR No.1-B) as at December 31, 2016.</w:t>
      </w:r>
    </w:p>
    <w:p w:rsidR="00C820F4" w:rsidRDefault="00C820F4" w:rsidP="00D47726">
      <w:pPr>
        <w:tabs>
          <w:tab w:val="left" w:pos="4590"/>
          <w:tab w:val="left" w:pos="5130"/>
          <w:tab w:val="left" w:pos="7200"/>
          <w:tab w:val="left" w:pos="7290"/>
        </w:tabs>
        <w:ind w:left="426"/>
        <w:jc w:val="both"/>
        <w:rPr>
          <w:b/>
          <w:sz w:val="24"/>
          <w:szCs w:val="24"/>
        </w:rPr>
      </w:pPr>
      <w:r>
        <w:rPr>
          <w:b/>
          <w:sz w:val="24"/>
          <w:szCs w:val="24"/>
        </w:rPr>
        <w:tab/>
      </w:r>
      <w:r>
        <w:rPr>
          <w:b/>
          <w:sz w:val="24"/>
          <w:szCs w:val="24"/>
        </w:rPr>
        <w:tab/>
      </w:r>
    </w:p>
    <w:p w:rsidR="000835DD" w:rsidRDefault="00C820F4" w:rsidP="00D47726">
      <w:pPr>
        <w:tabs>
          <w:tab w:val="left" w:pos="4590"/>
          <w:tab w:val="left" w:pos="5130"/>
          <w:tab w:val="left" w:pos="7200"/>
          <w:tab w:val="left" w:pos="7290"/>
        </w:tabs>
        <w:ind w:left="426"/>
        <w:jc w:val="both"/>
        <w:rPr>
          <w:sz w:val="24"/>
          <w:szCs w:val="24"/>
        </w:rPr>
      </w:pPr>
      <w:r>
        <w:rPr>
          <w:sz w:val="24"/>
          <w:szCs w:val="24"/>
        </w:rPr>
        <w:t>The original and final budgeted amounts for MOOE and Capital O</w:t>
      </w:r>
      <w:r w:rsidR="00B07CD5">
        <w:rPr>
          <w:sz w:val="24"/>
          <w:szCs w:val="24"/>
        </w:rPr>
        <w:t xml:space="preserve">utlay for </w:t>
      </w:r>
      <w:r w:rsidR="00155FD9" w:rsidRPr="009669C6">
        <w:rPr>
          <w:sz w:val="24"/>
          <w:szCs w:val="24"/>
        </w:rPr>
        <w:t>C</w:t>
      </w:r>
      <w:r w:rsidR="00B07CD5" w:rsidRPr="009669C6">
        <w:rPr>
          <w:sz w:val="24"/>
          <w:szCs w:val="24"/>
        </w:rPr>
        <w:t>Y</w:t>
      </w:r>
      <w:r w:rsidR="00B07CD5">
        <w:rPr>
          <w:sz w:val="24"/>
          <w:szCs w:val="24"/>
        </w:rPr>
        <w:t xml:space="preserve"> 2016 remained at ₱</w:t>
      </w:r>
      <w:r>
        <w:rPr>
          <w:sz w:val="24"/>
          <w:szCs w:val="24"/>
        </w:rPr>
        <w:t>25,026,000.00</w:t>
      </w:r>
      <w:r w:rsidR="00B07CD5">
        <w:rPr>
          <w:sz w:val="24"/>
          <w:szCs w:val="24"/>
        </w:rPr>
        <w:t xml:space="preserve"> and ₱</w:t>
      </w:r>
      <w:r w:rsidR="00A64009">
        <w:rPr>
          <w:sz w:val="24"/>
          <w:szCs w:val="24"/>
        </w:rPr>
        <w:t>40,000,000.00</w:t>
      </w:r>
      <w:r w:rsidR="00550EF4">
        <w:rPr>
          <w:sz w:val="24"/>
          <w:szCs w:val="24"/>
        </w:rPr>
        <w:t xml:space="preserve"> respectively. </w:t>
      </w:r>
    </w:p>
    <w:p w:rsidR="00DA1250" w:rsidRPr="00991002" w:rsidRDefault="00DA1250" w:rsidP="00D47726">
      <w:pPr>
        <w:tabs>
          <w:tab w:val="left" w:pos="4590"/>
          <w:tab w:val="left" w:pos="5130"/>
          <w:tab w:val="left" w:pos="7200"/>
          <w:tab w:val="left" w:pos="7290"/>
        </w:tabs>
        <w:ind w:left="426"/>
        <w:jc w:val="both"/>
        <w:rPr>
          <w:sz w:val="22"/>
          <w:szCs w:val="24"/>
        </w:rPr>
      </w:pPr>
    </w:p>
    <w:p w:rsidR="00C820F4" w:rsidRPr="00A4261F" w:rsidRDefault="000835DD" w:rsidP="00D47726">
      <w:pPr>
        <w:tabs>
          <w:tab w:val="left" w:pos="4590"/>
          <w:tab w:val="left" w:pos="5130"/>
          <w:tab w:val="left" w:pos="7200"/>
          <w:tab w:val="left" w:pos="7290"/>
        </w:tabs>
        <w:ind w:left="426"/>
        <w:jc w:val="both"/>
        <w:rPr>
          <w:sz w:val="24"/>
          <w:szCs w:val="24"/>
        </w:rPr>
      </w:pPr>
      <w:r>
        <w:rPr>
          <w:sz w:val="24"/>
          <w:szCs w:val="24"/>
        </w:rPr>
        <w:t xml:space="preserve">The total disbursements for Personnel Services amounted to </w:t>
      </w:r>
      <w:r w:rsidR="00B07CD5">
        <w:rPr>
          <w:sz w:val="24"/>
          <w:szCs w:val="24"/>
        </w:rPr>
        <w:t>₱</w:t>
      </w:r>
      <w:r w:rsidR="00C03899">
        <w:rPr>
          <w:sz w:val="24"/>
          <w:szCs w:val="24"/>
        </w:rPr>
        <w:t>68,113,0</w:t>
      </w:r>
      <w:r w:rsidR="00985836">
        <w:rPr>
          <w:sz w:val="24"/>
          <w:szCs w:val="24"/>
        </w:rPr>
        <w:t>55.47 leaving a difference of ₱</w:t>
      </w:r>
      <w:r w:rsidR="00C03899">
        <w:rPr>
          <w:sz w:val="24"/>
          <w:szCs w:val="24"/>
        </w:rPr>
        <w:t xml:space="preserve">10,090,789.53 from the final budget allocation for Personnel Services, while the MOOE total disbursements amounted to </w:t>
      </w:r>
      <w:r w:rsidR="00B07CD5">
        <w:rPr>
          <w:sz w:val="24"/>
          <w:szCs w:val="24"/>
        </w:rPr>
        <w:t>₱</w:t>
      </w:r>
      <w:r w:rsidR="00E834F7">
        <w:rPr>
          <w:sz w:val="24"/>
          <w:szCs w:val="24"/>
        </w:rPr>
        <w:t>17,</w:t>
      </w:r>
      <w:r w:rsidR="001909C2">
        <w:rPr>
          <w:sz w:val="24"/>
          <w:szCs w:val="24"/>
        </w:rPr>
        <w:t>202,060.94</w:t>
      </w:r>
      <w:r w:rsidR="00E834F7">
        <w:rPr>
          <w:sz w:val="24"/>
          <w:szCs w:val="24"/>
        </w:rPr>
        <w:t xml:space="preserve"> with a balance </w:t>
      </w:r>
      <w:r w:rsidR="00786F69">
        <w:rPr>
          <w:sz w:val="24"/>
          <w:szCs w:val="24"/>
        </w:rPr>
        <w:t xml:space="preserve">of </w:t>
      </w:r>
      <w:r w:rsidR="00B07CD5">
        <w:rPr>
          <w:sz w:val="24"/>
          <w:szCs w:val="24"/>
        </w:rPr>
        <w:lastRenderedPageBreak/>
        <w:t>₱</w:t>
      </w:r>
      <w:r w:rsidR="00E834F7">
        <w:rPr>
          <w:sz w:val="24"/>
          <w:szCs w:val="24"/>
        </w:rPr>
        <w:t>7,</w:t>
      </w:r>
      <w:r w:rsidR="001909C2">
        <w:rPr>
          <w:sz w:val="24"/>
          <w:szCs w:val="24"/>
        </w:rPr>
        <w:t>823,939.06</w:t>
      </w:r>
      <w:r w:rsidR="00E834F7">
        <w:rPr>
          <w:sz w:val="24"/>
          <w:szCs w:val="24"/>
        </w:rPr>
        <w:t xml:space="preserve">. The budget for Capital Outlay </w:t>
      </w:r>
      <w:r w:rsidR="00B07CD5">
        <w:rPr>
          <w:sz w:val="24"/>
          <w:szCs w:val="24"/>
        </w:rPr>
        <w:t>for ₱</w:t>
      </w:r>
      <w:r w:rsidR="00E834F7" w:rsidRPr="00E834F7">
        <w:rPr>
          <w:sz w:val="24"/>
          <w:szCs w:val="24"/>
        </w:rPr>
        <w:t>40,000,000.00 remains unobligated as at balance sheet date.</w:t>
      </w:r>
      <w:r w:rsidR="00C820F4">
        <w:rPr>
          <w:b/>
          <w:sz w:val="24"/>
          <w:szCs w:val="24"/>
        </w:rPr>
        <w:tab/>
      </w:r>
    </w:p>
    <w:p w:rsidR="00C820F4" w:rsidRPr="00991002" w:rsidRDefault="00C820F4" w:rsidP="00124F98">
      <w:pPr>
        <w:rPr>
          <w:b/>
          <w:sz w:val="22"/>
          <w:szCs w:val="24"/>
        </w:rPr>
      </w:pPr>
    </w:p>
    <w:p w:rsidR="00F7393D" w:rsidRDefault="00106174" w:rsidP="00D47726">
      <w:pPr>
        <w:pStyle w:val="BodyTextIndent"/>
        <w:numPr>
          <w:ilvl w:val="1"/>
          <w:numId w:val="18"/>
        </w:numPr>
        <w:ind w:left="993" w:hanging="567"/>
        <w:rPr>
          <w:b/>
          <w:szCs w:val="24"/>
        </w:rPr>
      </w:pPr>
      <w:r>
        <w:rPr>
          <w:b/>
          <w:szCs w:val="24"/>
        </w:rPr>
        <w:t>Personnel</w:t>
      </w:r>
      <w:r w:rsidR="0020380E">
        <w:rPr>
          <w:b/>
          <w:szCs w:val="24"/>
        </w:rPr>
        <w:t xml:space="preserve"> Services</w:t>
      </w:r>
    </w:p>
    <w:p w:rsidR="0020380E" w:rsidRPr="00991002" w:rsidRDefault="0020380E" w:rsidP="00124F98">
      <w:pPr>
        <w:rPr>
          <w:b/>
          <w:sz w:val="22"/>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710"/>
        <w:gridCol w:w="1716"/>
        <w:gridCol w:w="2064"/>
      </w:tblGrid>
      <w:tr w:rsidR="00A825B4" w:rsidRPr="00780E04" w:rsidTr="00991002">
        <w:trPr>
          <w:trHeight w:val="70"/>
          <w:tblHeader/>
        </w:trPr>
        <w:tc>
          <w:tcPr>
            <w:tcW w:w="2790" w:type="dxa"/>
            <w:vMerge w:val="restart"/>
            <w:shd w:val="clear" w:color="auto" w:fill="auto"/>
            <w:noWrap/>
            <w:vAlign w:val="center"/>
            <w:hideMark/>
          </w:tcPr>
          <w:p w:rsidR="00A825B4" w:rsidRPr="00780E04" w:rsidRDefault="00A825B4" w:rsidP="00616143">
            <w:pPr>
              <w:jc w:val="center"/>
              <w:rPr>
                <w:b/>
                <w:bCs/>
                <w:color w:val="000000"/>
                <w:sz w:val="22"/>
                <w:lang w:val="en-PH"/>
              </w:rPr>
            </w:pPr>
            <w:r w:rsidRPr="00780E04">
              <w:rPr>
                <w:b/>
                <w:bCs/>
                <w:color w:val="000000"/>
                <w:sz w:val="22"/>
                <w:lang w:val="en-PH"/>
              </w:rPr>
              <w:t>Particulars</w:t>
            </w:r>
          </w:p>
        </w:tc>
        <w:tc>
          <w:tcPr>
            <w:tcW w:w="3426" w:type="dxa"/>
            <w:gridSpan w:val="2"/>
            <w:shd w:val="clear" w:color="auto" w:fill="auto"/>
            <w:noWrap/>
            <w:vAlign w:val="center"/>
            <w:hideMark/>
          </w:tcPr>
          <w:p w:rsidR="00A825B4" w:rsidRPr="00780E04" w:rsidRDefault="00A825B4" w:rsidP="00616143">
            <w:pPr>
              <w:jc w:val="center"/>
              <w:rPr>
                <w:b/>
                <w:bCs/>
                <w:color w:val="000000"/>
                <w:sz w:val="22"/>
                <w:lang w:val="en-PH"/>
              </w:rPr>
            </w:pPr>
            <w:r w:rsidRPr="00780E04">
              <w:rPr>
                <w:b/>
                <w:bCs/>
                <w:color w:val="000000"/>
                <w:sz w:val="22"/>
                <w:lang w:val="en-PH"/>
              </w:rPr>
              <w:t>Budgeted Amount</w:t>
            </w:r>
          </w:p>
        </w:tc>
        <w:tc>
          <w:tcPr>
            <w:tcW w:w="2064" w:type="dxa"/>
            <w:vMerge w:val="restart"/>
            <w:shd w:val="clear" w:color="auto" w:fill="auto"/>
            <w:noWrap/>
            <w:vAlign w:val="center"/>
            <w:hideMark/>
          </w:tcPr>
          <w:p w:rsidR="00A825B4" w:rsidRPr="00780E04" w:rsidRDefault="00A825B4" w:rsidP="00124F98">
            <w:pPr>
              <w:jc w:val="center"/>
              <w:rPr>
                <w:b/>
                <w:bCs/>
                <w:color w:val="000000"/>
                <w:sz w:val="22"/>
                <w:lang w:val="en-PH"/>
              </w:rPr>
            </w:pPr>
            <w:r w:rsidRPr="00780E04">
              <w:rPr>
                <w:b/>
                <w:bCs/>
                <w:color w:val="000000"/>
                <w:sz w:val="22"/>
                <w:lang w:val="en-PH"/>
              </w:rPr>
              <w:t>Actual Amounts on Comparable Basis</w:t>
            </w:r>
          </w:p>
        </w:tc>
      </w:tr>
      <w:tr w:rsidR="00A825B4" w:rsidRPr="00780E04" w:rsidTr="00991002">
        <w:trPr>
          <w:trHeight w:val="80"/>
          <w:tblHeader/>
        </w:trPr>
        <w:tc>
          <w:tcPr>
            <w:tcW w:w="2790" w:type="dxa"/>
            <w:vMerge/>
            <w:shd w:val="clear" w:color="auto" w:fill="auto"/>
            <w:vAlign w:val="center"/>
            <w:hideMark/>
          </w:tcPr>
          <w:p w:rsidR="00A825B4" w:rsidRPr="00780E04" w:rsidRDefault="00A825B4" w:rsidP="00124F98">
            <w:pPr>
              <w:rPr>
                <w:b/>
                <w:bCs/>
                <w:color w:val="000000"/>
                <w:sz w:val="22"/>
                <w:lang w:val="en-PH"/>
              </w:rPr>
            </w:pPr>
          </w:p>
        </w:tc>
        <w:tc>
          <w:tcPr>
            <w:tcW w:w="1710" w:type="dxa"/>
            <w:shd w:val="clear" w:color="auto" w:fill="auto"/>
            <w:noWrap/>
            <w:vAlign w:val="center"/>
            <w:hideMark/>
          </w:tcPr>
          <w:p w:rsidR="00A825B4" w:rsidRPr="00991002" w:rsidRDefault="00A825B4" w:rsidP="00616143">
            <w:pPr>
              <w:jc w:val="center"/>
              <w:rPr>
                <w:bCs/>
                <w:color w:val="000000"/>
                <w:sz w:val="22"/>
                <w:lang w:val="en-PH"/>
              </w:rPr>
            </w:pPr>
            <w:r w:rsidRPr="00991002">
              <w:rPr>
                <w:bCs/>
                <w:color w:val="000000"/>
                <w:sz w:val="22"/>
                <w:lang w:val="en-PH"/>
              </w:rPr>
              <w:t>Original</w:t>
            </w:r>
          </w:p>
        </w:tc>
        <w:tc>
          <w:tcPr>
            <w:tcW w:w="1716" w:type="dxa"/>
            <w:shd w:val="clear" w:color="auto" w:fill="auto"/>
            <w:noWrap/>
            <w:vAlign w:val="center"/>
            <w:hideMark/>
          </w:tcPr>
          <w:p w:rsidR="00A825B4" w:rsidRPr="00991002" w:rsidRDefault="00A825B4" w:rsidP="00616143">
            <w:pPr>
              <w:jc w:val="center"/>
              <w:rPr>
                <w:bCs/>
                <w:color w:val="000000"/>
                <w:sz w:val="22"/>
                <w:lang w:val="en-PH"/>
              </w:rPr>
            </w:pPr>
            <w:r w:rsidRPr="00991002">
              <w:rPr>
                <w:bCs/>
                <w:color w:val="000000"/>
                <w:sz w:val="22"/>
                <w:lang w:val="en-PH"/>
              </w:rPr>
              <w:t>Final</w:t>
            </w:r>
          </w:p>
        </w:tc>
        <w:tc>
          <w:tcPr>
            <w:tcW w:w="2064" w:type="dxa"/>
            <w:vMerge/>
            <w:shd w:val="clear" w:color="auto" w:fill="auto"/>
            <w:noWrap/>
            <w:vAlign w:val="center"/>
            <w:hideMark/>
          </w:tcPr>
          <w:p w:rsidR="00A825B4" w:rsidRPr="00780E04" w:rsidRDefault="00A825B4" w:rsidP="00124F98">
            <w:pPr>
              <w:jc w:val="center"/>
              <w:rPr>
                <w:b/>
                <w:bCs/>
                <w:color w:val="000000"/>
                <w:sz w:val="22"/>
                <w:lang w:val="en-PH"/>
              </w:rPr>
            </w:pPr>
          </w:p>
        </w:tc>
      </w:tr>
      <w:tr w:rsidR="00780E04" w:rsidRPr="00780E04" w:rsidTr="00991002">
        <w:trPr>
          <w:trHeight w:val="315"/>
        </w:trPr>
        <w:tc>
          <w:tcPr>
            <w:tcW w:w="8280" w:type="dxa"/>
            <w:gridSpan w:val="4"/>
            <w:shd w:val="clear" w:color="auto" w:fill="auto"/>
            <w:noWrap/>
            <w:vAlign w:val="bottom"/>
            <w:hideMark/>
          </w:tcPr>
          <w:p w:rsidR="00780E04" w:rsidRPr="00780E04" w:rsidRDefault="00780E04" w:rsidP="00780E04">
            <w:pPr>
              <w:rPr>
                <w:color w:val="000000"/>
                <w:sz w:val="22"/>
                <w:lang w:val="en-PH"/>
              </w:rPr>
            </w:pPr>
            <w:r w:rsidRPr="00780E04">
              <w:rPr>
                <w:color w:val="000000"/>
                <w:sz w:val="22"/>
                <w:lang w:val="en-PH"/>
              </w:rPr>
              <w:t>Current Year Appropriations</w:t>
            </w:r>
            <w:r w:rsidRPr="00780E04">
              <w:rPr>
                <w:rFonts w:ascii="Calibri" w:hAnsi="Calibri"/>
                <w:color w:val="000000"/>
                <w:sz w:val="22"/>
                <w:lang w:val="en-PH"/>
              </w:rPr>
              <w:t> </w:t>
            </w:r>
          </w:p>
        </w:tc>
      </w:tr>
      <w:tr w:rsidR="0020380E" w:rsidRPr="00780E04" w:rsidTr="00991002">
        <w:trPr>
          <w:trHeight w:val="70"/>
        </w:trPr>
        <w:tc>
          <w:tcPr>
            <w:tcW w:w="2790" w:type="dxa"/>
            <w:shd w:val="clear" w:color="auto" w:fill="auto"/>
            <w:noWrap/>
            <w:vAlign w:val="bottom"/>
            <w:hideMark/>
          </w:tcPr>
          <w:p w:rsidR="0020380E" w:rsidRPr="00780E04" w:rsidRDefault="0020380E" w:rsidP="00124F98">
            <w:pPr>
              <w:rPr>
                <w:color w:val="000000"/>
                <w:sz w:val="22"/>
                <w:lang w:val="en-PH"/>
              </w:rPr>
            </w:pPr>
            <w:r w:rsidRPr="00780E04">
              <w:rPr>
                <w:color w:val="000000"/>
                <w:sz w:val="22"/>
                <w:lang w:val="en-PH"/>
              </w:rPr>
              <w:t>Agency Specific Budget</w:t>
            </w:r>
          </w:p>
        </w:tc>
        <w:tc>
          <w:tcPr>
            <w:tcW w:w="1710" w:type="dxa"/>
            <w:shd w:val="clear" w:color="auto" w:fill="auto"/>
            <w:noWrap/>
            <w:hideMark/>
          </w:tcPr>
          <w:p w:rsidR="0020380E" w:rsidRPr="00780E04" w:rsidRDefault="004D1ECF" w:rsidP="00B90010">
            <w:pPr>
              <w:jc w:val="right"/>
              <w:rPr>
                <w:color w:val="000000"/>
                <w:sz w:val="22"/>
                <w:lang w:val="en-PH"/>
              </w:rPr>
            </w:pPr>
            <w:r w:rsidRPr="00780E04">
              <w:rPr>
                <w:color w:val="000000"/>
                <w:sz w:val="22"/>
                <w:lang w:val="en-PH"/>
              </w:rPr>
              <w:t>64,646,000.00</w:t>
            </w:r>
          </w:p>
        </w:tc>
        <w:tc>
          <w:tcPr>
            <w:tcW w:w="1716"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 70,092,507.00</w:t>
            </w:r>
          </w:p>
        </w:tc>
        <w:tc>
          <w:tcPr>
            <w:tcW w:w="2064"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54,762,465.60 </w:t>
            </w:r>
          </w:p>
        </w:tc>
      </w:tr>
      <w:tr w:rsidR="0020380E" w:rsidRPr="00780E04" w:rsidTr="00991002">
        <w:trPr>
          <w:trHeight w:val="70"/>
        </w:trPr>
        <w:tc>
          <w:tcPr>
            <w:tcW w:w="2790" w:type="dxa"/>
            <w:shd w:val="clear" w:color="auto" w:fill="auto"/>
            <w:noWrap/>
            <w:vAlign w:val="bottom"/>
            <w:hideMark/>
          </w:tcPr>
          <w:p w:rsidR="0020380E" w:rsidRPr="00780E04" w:rsidRDefault="0020380E" w:rsidP="00124F98">
            <w:pPr>
              <w:rPr>
                <w:color w:val="000000"/>
                <w:sz w:val="22"/>
                <w:lang w:val="en-PH"/>
              </w:rPr>
            </w:pPr>
            <w:r w:rsidRPr="00780E04">
              <w:rPr>
                <w:color w:val="000000"/>
                <w:sz w:val="22"/>
                <w:lang w:val="en-PH"/>
              </w:rPr>
              <w:t>RLIP</w:t>
            </w:r>
          </w:p>
        </w:tc>
        <w:tc>
          <w:tcPr>
            <w:tcW w:w="1710"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 5,446,507.00</w:t>
            </w:r>
          </w:p>
        </w:tc>
        <w:tc>
          <w:tcPr>
            <w:tcW w:w="1716"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w:t>
            </w:r>
          </w:p>
        </w:tc>
        <w:tc>
          <w:tcPr>
            <w:tcW w:w="2064"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5,249,365.19 </w:t>
            </w:r>
          </w:p>
        </w:tc>
      </w:tr>
      <w:tr w:rsidR="0020380E" w:rsidRPr="00780E04" w:rsidTr="00991002">
        <w:trPr>
          <w:trHeight w:val="70"/>
        </w:trPr>
        <w:tc>
          <w:tcPr>
            <w:tcW w:w="2790" w:type="dxa"/>
            <w:shd w:val="clear" w:color="auto" w:fill="auto"/>
            <w:noWrap/>
            <w:vAlign w:val="bottom"/>
            <w:hideMark/>
          </w:tcPr>
          <w:p w:rsidR="0020380E" w:rsidRPr="00780E04" w:rsidRDefault="0020380E" w:rsidP="00124F98">
            <w:pPr>
              <w:rPr>
                <w:color w:val="000000"/>
                <w:sz w:val="22"/>
                <w:lang w:val="en-PH"/>
              </w:rPr>
            </w:pPr>
            <w:r w:rsidRPr="00780E04">
              <w:rPr>
                <w:color w:val="000000"/>
                <w:sz w:val="22"/>
                <w:lang w:val="en-PH"/>
              </w:rPr>
              <w:t>Special Purpose Fund</w:t>
            </w:r>
          </w:p>
        </w:tc>
        <w:tc>
          <w:tcPr>
            <w:tcW w:w="1710" w:type="dxa"/>
            <w:shd w:val="clear" w:color="auto" w:fill="auto"/>
            <w:noWrap/>
            <w:hideMark/>
          </w:tcPr>
          <w:p w:rsidR="0020380E" w:rsidRPr="00780E04" w:rsidRDefault="00660209" w:rsidP="00B90010">
            <w:pPr>
              <w:jc w:val="right"/>
              <w:rPr>
                <w:color w:val="000000"/>
                <w:sz w:val="22"/>
                <w:lang w:val="en-PH"/>
              </w:rPr>
            </w:pPr>
            <w:r w:rsidRPr="00780E04">
              <w:rPr>
                <w:color w:val="000000"/>
                <w:sz w:val="22"/>
                <w:lang w:val="en-PH"/>
              </w:rPr>
              <w:t> 8,111,338.00</w:t>
            </w:r>
          </w:p>
        </w:tc>
        <w:tc>
          <w:tcPr>
            <w:tcW w:w="1716"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 8,111,338.00</w:t>
            </w:r>
          </w:p>
        </w:tc>
        <w:tc>
          <w:tcPr>
            <w:tcW w:w="2064" w:type="dxa"/>
            <w:shd w:val="clear" w:color="auto" w:fill="auto"/>
            <w:noWrap/>
            <w:hideMark/>
          </w:tcPr>
          <w:p w:rsidR="0020380E" w:rsidRPr="00780E04" w:rsidRDefault="0020380E" w:rsidP="00B90010">
            <w:pPr>
              <w:jc w:val="right"/>
              <w:rPr>
                <w:color w:val="000000"/>
                <w:sz w:val="22"/>
                <w:lang w:val="en-PH"/>
              </w:rPr>
            </w:pPr>
            <w:r w:rsidRPr="00780E04">
              <w:rPr>
                <w:color w:val="000000"/>
                <w:sz w:val="22"/>
                <w:lang w:val="en-PH"/>
              </w:rPr>
              <w:t> 8,101,224.68</w:t>
            </w:r>
          </w:p>
        </w:tc>
      </w:tr>
      <w:tr w:rsidR="0020380E" w:rsidRPr="00780E04" w:rsidTr="00991002">
        <w:trPr>
          <w:trHeight w:val="70"/>
        </w:trPr>
        <w:tc>
          <w:tcPr>
            <w:tcW w:w="2790" w:type="dxa"/>
            <w:shd w:val="clear" w:color="auto" w:fill="auto"/>
            <w:noWrap/>
            <w:vAlign w:val="bottom"/>
            <w:hideMark/>
          </w:tcPr>
          <w:p w:rsidR="0020380E" w:rsidRPr="00780E04" w:rsidRDefault="00780E04" w:rsidP="00124F98">
            <w:pPr>
              <w:rPr>
                <w:b/>
                <w:bCs/>
                <w:color w:val="000000"/>
                <w:sz w:val="22"/>
                <w:lang w:val="en-PH"/>
              </w:rPr>
            </w:pPr>
            <w:r>
              <w:rPr>
                <w:b/>
                <w:bCs/>
                <w:color w:val="000000"/>
                <w:sz w:val="22"/>
                <w:lang w:val="en-PH"/>
              </w:rPr>
              <w:t>Total</w:t>
            </w:r>
          </w:p>
        </w:tc>
        <w:tc>
          <w:tcPr>
            <w:tcW w:w="1710" w:type="dxa"/>
            <w:shd w:val="clear" w:color="auto" w:fill="auto"/>
            <w:noWrap/>
            <w:hideMark/>
          </w:tcPr>
          <w:p w:rsidR="0020380E" w:rsidRPr="00780E04" w:rsidRDefault="00EE6662" w:rsidP="00B90010">
            <w:pPr>
              <w:jc w:val="right"/>
              <w:rPr>
                <w:b/>
                <w:color w:val="000000"/>
                <w:sz w:val="22"/>
                <w:lang w:val="en-PH"/>
              </w:rPr>
            </w:pPr>
            <w:r w:rsidRPr="00780E04">
              <w:rPr>
                <w:b/>
                <w:color w:val="000000"/>
                <w:sz w:val="22"/>
                <w:lang w:val="en-PH"/>
              </w:rPr>
              <w:t>78,203,845.00</w:t>
            </w:r>
          </w:p>
        </w:tc>
        <w:tc>
          <w:tcPr>
            <w:tcW w:w="1716" w:type="dxa"/>
            <w:shd w:val="clear" w:color="auto" w:fill="auto"/>
            <w:noWrap/>
            <w:hideMark/>
          </w:tcPr>
          <w:p w:rsidR="0020380E" w:rsidRPr="00780E04" w:rsidRDefault="0020380E" w:rsidP="00B90010">
            <w:pPr>
              <w:jc w:val="right"/>
              <w:rPr>
                <w:b/>
                <w:color w:val="000000"/>
                <w:sz w:val="22"/>
                <w:lang w:val="en-PH"/>
              </w:rPr>
            </w:pPr>
            <w:r w:rsidRPr="00780E04">
              <w:rPr>
                <w:b/>
                <w:color w:val="000000"/>
                <w:sz w:val="22"/>
                <w:lang w:val="en-PH"/>
              </w:rPr>
              <w:t>78,203,845.00</w:t>
            </w:r>
          </w:p>
        </w:tc>
        <w:tc>
          <w:tcPr>
            <w:tcW w:w="2064" w:type="dxa"/>
            <w:shd w:val="clear" w:color="auto" w:fill="auto"/>
            <w:noWrap/>
            <w:hideMark/>
          </w:tcPr>
          <w:p w:rsidR="0020380E" w:rsidRPr="00780E04" w:rsidRDefault="0020380E" w:rsidP="00B90010">
            <w:pPr>
              <w:jc w:val="right"/>
              <w:rPr>
                <w:b/>
                <w:color w:val="000000"/>
                <w:sz w:val="22"/>
                <w:lang w:val="en-PH"/>
              </w:rPr>
            </w:pPr>
            <w:r w:rsidRPr="00780E04">
              <w:rPr>
                <w:b/>
                <w:color w:val="000000"/>
                <w:sz w:val="22"/>
                <w:lang w:val="en-PH"/>
              </w:rPr>
              <w:t>68,113,055.47</w:t>
            </w:r>
          </w:p>
        </w:tc>
      </w:tr>
    </w:tbl>
    <w:p w:rsidR="00955286" w:rsidRPr="00991002" w:rsidRDefault="00955286" w:rsidP="0002391A">
      <w:pPr>
        <w:rPr>
          <w:b/>
          <w:sz w:val="22"/>
          <w:szCs w:val="24"/>
        </w:rPr>
      </w:pPr>
    </w:p>
    <w:p w:rsidR="00127A68" w:rsidRDefault="00127A68" w:rsidP="00D47726">
      <w:pPr>
        <w:pStyle w:val="BodyTextIndent"/>
        <w:numPr>
          <w:ilvl w:val="1"/>
          <w:numId w:val="18"/>
        </w:numPr>
        <w:ind w:left="993" w:hanging="567"/>
        <w:rPr>
          <w:b/>
          <w:szCs w:val="24"/>
        </w:rPr>
      </w:pPr>
      <w:r>
        <w:rPr>
          <w:b/>
          <w:szCs w:val="24"/>
        </w:rPr>
        <w:t>Maintenance and Other Operating Expenses</w:t>
      </w:r>
    </w:p>
    <w:p w:rsidR="00127A68" w:rsidRPr="00991002" w:rsidRDefault="00127A68" w:rsidP="00124F98">
      <w:pPr>
        <w:rPr>
          <w:b/>
          <w:sz w:val="22"/>
          <w:szCs w:val="24"/>
        </w:rPr>
      </w:pPr>
    </w:p>
    <w:tbl>
      <w:tblPr>
        <w:tblW w:w="828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90"/>
        <w:gridCol w:w="1749"/>
        <w:gridCol w:w="1520"/>
        <w:gridCol w:w="2221"/>
      </w:tblGrid>
      <w:tr w:rsidR="00E37843" w:rsidRPr="00B90010" w:rsidTr="00991002">
        <w:trPr>
          <w:trHeight w:val="70"/>
        </w:trPr>
        <w:tc>
          <w:tcPr>
            <w:tcW w:w="2790" w:type="dxa"/>
            <w:vMerge w:val="restart"/>
            <w:shd w:val="clear" w:color="auto" w:fill="auto"/>
            <w:noWrap/>
            <w:vAlign w:val="center"/>
            <w:hideMark/>
          </w:tcPr>
          <w:p w:rsidR="00E37843" w:rsidRPr="00B90010" w:rsidRDefault="00E37843" w:rsidP="00B90010">
            <w:pPr>
              <w:jc w:val="center"/>
              <w:rPr>
                <w:b/>
                <w:bCs/>
                <w:color w:val="000000"/>
                <w:sz w:val="22"/>
                <w:lang w:val="en-PH"/>
              </w:rPr>
            </w:pPr>
            <w:r w:rsidRPr="00B90010">
              <w:rPr>
                <w:b/>
                <w:bCs/>
                <w:color w:val="000000"/>
                <w:sz w:val="22"/>
                <w:lang w:val="en-PH"/>
              </w:rPr>
              <w:t>Particulars</w:t>
            </w:r>
          </w:p>
        </w:tc>
        <w:tc>
          <w:tcPr>
            <w:tcW w:w="3269" w:type="dxa"/>
            <w:gridSpan w:val="2"/>
            <w:shd w:val="clear" w:color="auto" w:fill="auto"/>
            <w:noWrap/>
            <w:vAlign w:val="center"/>
            <w:hideMark/>
          </w:tcPr>
          <w:p w:rsidR="00E37843" w:rsidRPr="00B90010" w:rsidRDefault="00E37843" w:rsidP="00B90010">
            <w:pPr>
              <w:jc w:val="center"/>
              <w:rPr>
                <w:b/>
                <w:bCs/>
                <w:color w:val="000000"/>
                <w:sz w:val="22"/>
                <w:lang w:val="en-PH"/>
              </w:rPr>
            </w:pPr>
            <w:r w:rsidRPr="00B90010">
              <w:rPr>
                <w:b/>
                <w:bCs/>
                <w:color w:val="000000"/>
                <w:sz w:val="22"/>
                <w:lang w:val="en-PH"/>
              </w:rPr>
              <w:t>Budgeted Amount</w:t>
            </w:r>
          </w:p>
        </w:tc>
        <w:tc>
          <w:tcPr>
            <w:tcW w:w="2221" w:type="dxa"/>
            <w:vMerge w:val="restart"/>
            <w:shd w:val="clear" w:color="auto" w:fill="auto"/>
            <w:noWrap/>
            <w:vAlign w:val="center"/>
            <w:hideMark/>
          </w:tcPr>
          <w:p w:rsidR="00E37843" w:rsidRPr="00B90010" w:rsidRDefault="00E37843" w:rsidP="00B90010">
            <w:pPr>
              <w:jc w:val="center"/>
              <w:rPr>
                <w:b/>
                <w:bCs/>
                <w:color w:val="000000"/>
                <w:sz w:val="22"/>
                <w:lang w:val="en-PH"/>
              </w:rPr>
            </w:pPr>
            <w:r w:rsidRPr="00B90010">
              <w:rPr>
                <w:b/>
                <w:bCs/>
                <w:color w:val="000000"/>
                <w:sz w:val="22"/>
                <w:lang w:val="en-PH"/>
              </w:rPr>
              <w:t>Actual Amounts on Comparable Basis</w:t>
            </w:r>
          </w:p>
        </w:tc>
      </w:tr>
      <w:tr w:rsidR="00E37843" w:rsidRPr="00B90010" w:rsidTr="00991002">
        <w:trPr>
          <w:trHeight w:val="70"/>
        </w:trPr>
        <w:tc>
          <w:tcPr>
            <w:tcW w:w="2790" w:type="dxa"/>
            <w:vMerge/>
            <w:shd w:val="clear" w:color="auto" w:fill="auto"/>
            <w:vAlign w:val="center"/>
            <w:hideMark/>
          </w:tcPr>
          <w:p w:rsidR="00E37843" w:rsidRPr="00B90010" w:rsidRDefault="00E37843" w:rsidP="00124F98">
            <w:pPr>
              <w:rPr>
                <w:b/>
                <w:bCs/>
                <w:color w:val="000000"/>
                <w:sz w:val="22"/>
                <w:lang w:val="en-PH"/>
              </w:rPr>
            </w:pPr>
          </w:p>
        </w:tc>
        <w:tc>
          <w:tcPr>
            <w:tcW w:w="1749" w:type="dxa"/>
            <w:shd w:val="clear" w:color="auto" w:fill="auto"/>
            <w:noWrap/>
            <w:vAlign w:val="bottom"/>
            <w:hideMark/>
          </w:tcPr>
          <w:p w:rsidR="00E37843" w:rsidRPr="00991002" w:rsidRDefault="00E37843" w:rsidP="00124F98">
            <w:pPr>
              <w:jc w:val="center"/>
              <w:rPr>
                <w:bCs/>
                <w:color w:val="000000"/>
                <w:sz w:val="22"/>
                <w:lang w:val="en-PH"/>
              </w:rPr>
            </w:pPr>
            <w:r w:rsidRPr="00991002">
              <w:rPr>
                <w:bCs/>
                <w:color w:val="000000"/>
                <w:sz w:val="22"/>
                <w:lang w:val="en-PH"/>
              </w:rPr>
              <w:t>Original</w:t>
            </w:r>
          </w:p>
        </w:tc>
        <w:tc>
          <w:tcPr>
            <w:tcW w:w="1520" w:type="dxa"/>
            <w:shd w:val="clear" w:color="auto" w:fill="auto"/>
            <w:noWrap/>
            <w:vAlign w:val="bottom"/>
            <w:hideMark/>
          </w:tcPr>
          <w:p w:rsidR="00E37843" w:rsidRPr="00991002" w:rsidRDefault="00E37843" w:rsidP="00124F98">
            <w:pPr>
              <w:jc w:val="center"/>
              <w:rPr>
                <w:bCs/>
                <w:color w:val="000000"/>
                <w:sz w:val="22"/>
                <w:lang w:val="en-PH"/>
              </w:rPr>
            </w:pPr>
            <w:r w:rsidRPr="00991002">
              <w:rPr>
                <w:bCs/>
                <w:color w:val="000000"/>
                <w:sz w:val="22"/>
                <w:lang w:val="en-PH"/>
              </w:rPr>
              <w:t>Final</w:t>
            </w:r>
          </w:p>
        </w:tc>
        <w:tc>
          <w:tcPr>
            <w:tcW w:w="2221" w:type="dxa"/>
            <w:vMerge/>
            <w:shd w:val="clear" w:color="auto" w:fill="auto"/>
            <w:noWrap/>
            <w:vAlign w:val="bottom"/>
            <w:hideMark/>
          </w:tcPr>
          <w:p w:rsidR="00E37843" w:rsidRPr="00B90010" w:rsidRDefault="00E37843" w:rsidP="00124F98">
            <w:pPr>
              <w:jc w:val="center"/>
              <w:rPr>
                <w:b/>
                <w:bCs/>
                <w:color w:val="000000"/>
                <w:sz w:val="22"/>
                <w:lang w:val="en-PH"/>
              </w:rPr>
            </w:pPr>
          </w:p>
        </w:tc>
      </w:tr>
      <w:tr w:rsidR="00127A68" w:rsidRPr="00B90010" w:rsidTr="00991002">
        <w:trPr>
          <w:trHeight w:val="125"/>
        </w:trPr>
        <w:tc>
          <w:tcPr>
            <w:tcW w:w="2790" w:type="dxa"/>
            <w:shd w:val="clear" w:color="auto" w:fill="auto"/>
            <w:noWrap/>
            <w:vAlign w:val="center"/>
            <w:hideMark/>
          </w:tcPr>
          <w:p w:rsidR="00127A68" w:rsidRPr="00B90010" w:rsidRDefault="00127A68" w:rsidP="00991002">
            <w:pPr>
              <w:rPr>
                <w:color w:val="000000"/>
                <w:sz w:val="22"/>
                <w:lang w:val="en-PH"/>
              </w:rPr>
            </w:pPr>
            <w:r w:rsidRPr="00B90010">
              <w:rPr>
                <w:color w:val="000000"/>
                <w:sz w:val="22"/>
                <w:lang w:val="en-PH"/>
              </w:rPr>
              <w:t>Continuing Appropriations</w:t>
            </w:r>
          </w:p>
        </w:tc>
        <w:tc>
          <w:tcPr>
            <w:tcW w:w="1749" w:type="dxa"/>
            <w:shd w:val="clear" w:color="auto" w:fill="auto"/>
            <w:noWrap/>
            <w:hideMark/>
          </w:tcPr>
          <w:p w:rsidR="00127A68" w:rsidRPr="00B90010" w:rsidRDefault="00127A68" w:rsidP="00991002">
            <w:pPr>
              <w:jc w:val="right"/>
              <w:rPr>
                <w:color w:val="000000"/>
                <w:sz w:val="22"/>
                <w:lang w:val="en-PH"/>
              </w:rPr>
            </w:pPr>
            <w:r w:rsidRPr="00B90010">
              <w:rPr>
                <w:color w:val="000000"/>
                <w:sz w:val="22"/>
                <w:lang w:val="en-PH"/>
              </w:rPr>
              <w:t>-</w:t>
            </w:r>
          </w:p>
        </w:tc>
        <w:tc>
          <w:tcPr>
            <w:tcW w:w="1520" w:type="dxa"/>
            <w:shd w:val="clear" w:color="auto" w:fill="auto"/>
            <w:noWrap/>
            <w:hideMark/>
          </w:tcPr>
          <w:p w:rsidR="00127A68" w:rsidRPr="00B90010" w:rsidRDefault="00127A68" w:rsidP="00991002">
            <w:pPr>
              <w:jc w:val="right"/>
              <w:rPr>
                <w:color w:val="000000"/>
                <w:sz w:val="22"/>
                <w:lang w:val="en-PH"/>
              </w:rPr>
            </w:pPr>
            <w:r w:rsidRPr="00B90010">
              <w:rPr>
                <w:color w:val="000000"/>
                <w:sz w:val="22"/>
                <w:lang w:val="en-PH"/>
              </w:rPr>
              <w:t>-</w:t>
            </w:r>
          </w:p>
        </w:tc>
        <w:tc>
          <w:tcPr>
            <w:tcW w:w="2221" w:type="dxa"/>
            <w:shd w:val="clear" w:color="auto" w:fill="auto"/>
            <w:noWrap/>
            <w:hideMark/>
          </w:tcPr>
          <w:p w:rsidR="00127A68" w:rsidRPr="00B90010" w:rsidRDefault="00127A68" w:rsidP="00991002">
            <w:pPr>
              <w:jc w:val="right"/>
              <w:rPr>
                <w:color w:val="000000"/>
                <w:sz w:val="22"/>
                <w:lang w:val="en-PH"/>
              </w:rPr>
            </w:pPr>
            <w:r w:rsidRPr="00B90010">
              <w:rPr>
                <w:color w:val="000000"/>
                <w:sz w:val="22"/>
                <w:lang w:val="en-PH"/>
              </w:rPr>
              <w:t>686,000.00 </w:t>
            </w:r>
          </w:p>
        </w:tc>
      </w:tr>
      <w:tr w:rsidR="00127A68" w:rsidRPr="00B90010" w:rsidTr="00991002">
        <w:trPr>
          <w:trHeight w:val="70"/>
        </w:trPr>
        <w:tc>
          <w:tcPr>
            <w:tcW w:w="2790" w:type="dxa"/>
            <w:shd w:val="clear" w:color="auto" w:fill="auto"/>
            <w:noWrap/>
            <w:vAlign w:val="center"/>
            <w:hideMark/>
          </w:tcPr>
          <w:p w:rsidR="00127A68" w:rsidRPr="00B90010" w:rsidRDefault="00991002" w:rsidP="00991002">
            <w:pPr>
              <w:rPr>
                <w:color w:val="000000"/>
                <w:sz w:val="22"/>
                <w:lang w:val="en-PH"/>
              </w:rPr>
            </w:pPr>
            <w:r>
              <w:rPr>
                <w:color w:val="000000"/>
                <w:sz w:val="22"/>
                <w:lang w:val="en-PH"/>
              </w:rPr>
              <w:t xml:space="preserve">Current Year </w:t>
            </w:r>
            <w:r w:rsidR="00127A68" w:rsidRPr="00B90010">
              <w:rPr>
                <w:color w:val="000000"/>
                <w:sz w:val="22"/>
                <w:lang w:val="en-PH"/>
              </w:rPr>
              <w:t>Appropriations</w:t>
            </w:r>
          </w:p>
        </w:tc>
        <w:tc>
          <w:tcPr>
            <w:tcW w:w="1749" w:type="dxa"/>
            <w:shd w:val="clear" w:color="auto" w:fill="auto"/>
            <w:noWrap/>
            <w:hideMark/>
          </w:tcPr>
          <w:p w:rsidR="00127A68" w:rsidRPr="00B90010" w:rsidRDefault="00127A68" w:rsidP="00991002">
            <w:pPr>
              <w:jc w:val="right"/>
              <w:rPr>
                <w:color w:val="000000"/>
                <w:sz w:val="22"/>
                <w:lang w:val="en-PH"/>
              </w:rPr>
            </w:pPr>
            <w:r w:rsidRPr="00B90010">
              <w:rPr>
                <w:color w:val="000000"/>
                <w:sz w:val="22"/>
                <w:lang w:val="en-PH"/>
              </w:rPr>
              <w:t>25,026,000.00 </w:t>
            </w:r>
          </w:p>
        </w:tc>
        <w:tc>
          <w:tcPr>
            <w:tcW w:w="1520" w:type="dxa"/>
            <w:shd w:val="clear" w:color="auto" w:fill="auto"/>
            <w:noWrap/>
            <w:hideMark/>
          </w:tcPr>
          <w:p w:rsidR="00127A68" w:rsidRPr="00B90010" w:rsidRDefault="00991002" w:rsidP="00991002">
            <w:pPr>
              <w:jc w:val="right"/>
              <w:rPr>
                <w:color w:val="000000"/>
                <w:sz w:val="22"/>
                <w:lang w:val="en-PH"/>
              </w:rPr>
            </w:pPr>
            <w:r>
              <w:rPr>
                <w:color w:val="000000"/>
                <w:sz w:val="22"/>
                <w:lang w:val="en-PH"/>
              </w:rPr>
              <w:t>25,026,000.0</w:t>
            </w:r>
            <w:r w:rsidR="00127A68" w:rsidRPr="00B90010">
              <w:rPr>
                <w:color w:val="000000"/>
                <w:sz w:val="22"/>
                <w:lang w:val="en-PH"/>
              </w:rPr>
              <w:t> </w:t>
            </w:r>
          </w:p>
        </w:tc>
        <w:tc>
          <w:tcPr>
            <w:tcW w:w="2221" w:type="dxa"/>
            <w:shd w:val="clear" w:color="auto" w:fill="auto"/>
            <w:noWrap/>
            <w:hideMark/>
          </w:tcPr>
          <w:p w:rsidR="00127A68" w:rsidRPr="00B90010" w:rsidRDefault="00127A68" w:rsidP="00991002">
            <w:pPr>
              <w:jc w:val="right"/>
              <w:rPr>
                <w:color w:val="000000"/>
                <w:sz w:val="22"/>
                <w:lang w:val="en-PH"/>
              </w:rPr>
            </w:pPr>
            <w:r w:rsidRPr="00B90010">
              <w:rPr>
                <w:color w:val="000000"/>
                <w:sz w:val="22"/>
                <w:lang w:val="en-PH"/>
              </w:rPr>
              <w:t> 17,202,058.48</w:t>
            </w:r>
          </w:p>
        </w:tc>
      </w:tr>
      <w:tr w:rsidR="00127A68" w:rsidRPr="00B90010" w:rsidTr="00991002">
        <w:trPr>
          <w:trHeight w:val="70"/>
        </w:trPr>
        <w:tc>
          <w:tcPr>
            <w:tcW w:w="2790" w:type="dxa"/>
            <w:shd w:val="clear" w:color="auto" w:fill="auto"/>
            <w:noWrap/>
            <w:vAlign w:val="center"/>
            <w:hideMark/>
          </w:tcPr>
          <w:p w:rsidR="00127A68" w:rsidRPr="00B90010" w:rsidRDefault="00B90010" w:rsidP="00991002">
            <w:pPr>
              <w:rPr>
                <w:b/>
                <w:bCs/>
                <w:color w:val="000000"/>
                <w:sz w:val="22"/>
                <w:lang w:val="en-PH"/>
              </w:rPr>
            </w:pPr>
            <w:r>
              <w:rPr>
                <w:b/>
                <w:bCs/>
                <w:color w:val="000000"/>
                <w:sz w:val="22"/>
                <w:lang w:val="en-PH"/>
              </w:rPr>
              <w:t>Total</w:t>
            </w:r>
          </w:p>
        </w:tc>
        <w:tc>
          <w:tcPr>
            <w:tcW w:w="1749" w:type="dxa"/>
            <w:shd w:val="clear" w:color="auto" w:fill="auto"/>
            <w:noWrap/>
            <w:hideMark/>
          </w:tcPr>
          <w:p w:rsidR="00127A68" w:rsidRPr="00B90010" w:rsidRDefault="00127A68" w:rsidP="00991002">
            <w:pPr>
              <w:jc w:val="right"/>
              <w:rPr>
                <w:b/>
                <w:color w:val="000000"/>
                <w:sz w:val="22"/>
                <w:lang w:val="en-PH"/>
              </w:rPr>
            </w:pPr>
            <w:r w:rsidRPr="00B90010">
              <w:rPr>
                <w:b/>
                <w:color w:val="000000"/>
                <w:sz w:val="22"/>
                <w:lang w:val="en-PH"/>
              </w:rPr>
              <w:t>25,026,000.00</w:t>
            </w:r>
          </w:p>
        </w:tc>
        <w:tc>
          <w:tcPr>
            <w:tcW w:w="1520" w:type="dxa"/>
            <w:shd w:val="clear" w:color="auto" w:fill="auto"/>
            <w:noWrap/>
            <w:hideMark/>
          </w:tcPr>
          <w:p w:rsidR="00127A68" w:rsidRPr="00B90010" w:rsidRDefault="00127A68" w:rsidP="00991002">
            <w:pPr>
              <w:tabs>
                <w:tab w:val="left" w:pos="1782"/>
              </w:tabs>
              <w:jc w:val="right"/>
              <w:rPr>
                <w:b/>
                <w:color w:val="000000"/>
                <w:sz w:val="22"/>
                <w:lang w:val="en-PH"/>
              </w:rPr>
            </w:pPr>
            <w:r w:rsidRPr="00B90010">
              <w:rPr>
                <w:b/>
                <w:color w:val="000000"/>
                <w:sz w:val="22"/>
                <w:lang w:val="en-PH"/>
              </w:rPr>
              <w:t>25,026,000.00</w:t>
            </w:r>
          </w:p>
        </w:tc>
        <w:tc>
          <w:tcPr>
            <w:tcW w:w="2221" w:type="dxa"/>
            <w:shd w:val="clear" w:color="auto" w:fill="auto"/>
            <w:noWrap/>
            <w:hideMark/>
          </w:tcPr>
          <w:p w:rsidR="00127A68" w:rsidRPr="00B90010" w:rsidRDefault="00127A68" w:rsidP="00991002">
            <w:pPr>
              <w:jc w:val="right"/>
              <w:rPr>
                <w:b/>
                <w:color w:val="000000"/>
                <w:sz w:val="22"/>
                <w:lang w:val="en-PH"/>
              </w:rPr>
            </w:pPr>
            <w:r w:rsidRPr="00B90010">
              <w:rPr>
                <w:b/>
                <w:color w:val="000000"/>
                <w:sz w:val="22"/>
                <w:lang w:val="en-PH"/>
              </w:rPr>
              <w:t>17,888,058.48</w:t>
            </w:r>
          </w:p>
        </w:tc>
      </w:tr>
    </w:tbl>
    <w:p w:rsidR="00716525" w:rsidRPr="00215DA2" w:rsidRDefault="00716525" w:rsidP="00124F98">
      <w:pPr>
        <w:tabs>
          <w:tab w:val="left" w:pos="4590"/>
          <w:tab w:val="left" w:pos="5130"/>
          <w:tab w:val="left" w:pos="7200"/>
          <w:tab w:val="left" w:pos="7290"/>
        </w:tabs>
        <w:rPr>
          <w:b/>
          <w:sz w:val="24"/>
          <w:szCs w:val="24"/>
        </w:rPr>
      </w:pPr>
    </w:p>
    <w:sectPr w:rsidR="00716525" w:rsidRPr="00215DA2" w:rsidSect="00F21342">
      <w:headerReference w:type="default" r:id="rId13"/>
      <w:footerReference w:type="default" r:id="rId14"/>
      <w:pgSz w:w="12240" w:h="15840" w:code="1"/>
      <w:pgMar w:top="1440" w:right="1440" w:bottom="1440" w:left="2160" w:header="720" w:footer="720" w:gutter="0"/>
      <w:pgNumType w:start="9"/>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499F" w:rsidRDefault="0096499F" w:rsidP="00B26BB4">
      <w:r>
        <w:separator/>
      </w:r>
    </w:p>
  </w:endnote>
  <w:endnote w:type="continuationSeparator" w:id="0">
    <w:p w:rsidR="0096499F" w:rsidRDefault="0096499F" w:rsidP="00B26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86750573"/>
      <w:docPartObj>
        <w:docPartGallery w:val="Page Numbers (Bottom of Page)"/>
        <w:docPartUnique/>
      </w:docPartObj>
    </w:sdtPr>
    <w:sdtEndPr>
      <w:rPr>
        <w:noProof/>
        <w:sz w:val="22"/>
      </w:rPr>
    </w:sdtEndPr>
    <w:sdtContent>
      <w:p w:rsidR="00F21342" w:rsidRPr="00955286" w:rsidRDefault="00F21342">
        <w:pPr>
          <w:pStyle w:val="Footer"/>
          <w:jc w:val="center"/>
          <w:rPr>
            <w:sz w:val="22"/>
          </w:rPr>
        </w:pPr>
        <w:r w:rsidRPr="00955286">
          <w:rPr>
            <w:sz w:val="22"/>
          </w:rPr>
          <w:fldChar w:fldCharType="begin"/>
        </w:r>
        <w:r w:rsidRPr="00955286">
          <w:rPr>
            <w:sz w:val="22"/>
          </w:rPr>
          <w:instrText xml:space="preserve"> PAGE   \* MERGEFORMAT </w:instrText>
        </w:r>
        <w:r w:rsidRPr="00955286">
          <w:rPr>
            <w:sz w:val="22"/>
          </w:rPr>
          <w:fldChar w:fldCharType="separate"/>
        </w:r>
        <w:r w:rsidR="00726953">
          <w:rPr>
            <w:noProof/>
            <w:sz w:val="22"/>
          </w:rPr>
          <w:t>29</w:t>
        </w:r>
        <w:r w:rsidRPr="00955286">
          <w:rPr>
            <w:noProof/>
            <w:sz w:val="22"/>
          </w:rPr>
          <w:fldChar w:fldCharType="end"/>
        </w:r>
      </w:p>
    </w:sdtContent>
  </w:sdt>
  <w:p w:rsidR="00F21342" w:rsidRPr="00955286" w:rsidRDefault="00F21342">
    <w:pPr>
      <w:pStyle w:val="Footer"/>
      <w:rPr>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499F" w:rsidRDefault="0096499F" w:rsidP="00B26BB4">
      <w:r>
        <w:separator/>
      </w:r>
    </w:p>
  </w:footnote>
  <w:footnote w:type="continuationSeparator" w:id="0">
    <w:p w:rsidR="0096499F" w:rsidRDefault="0096499F" w:rsidP="00B26B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1342" w:rsidRDefault="00F21342">
    <w:pPr>
      <w:pStyle w:val="Header"/>
      <w:jc w:val="center"/>
    </w:pPr>
  </w:p>
  <w:p w:rsidR="00F21342" w:rsidRDefault="00F2134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3D6A93"/>
    <w:multiLevelType w:val="hybridMultilevel"/>
    <w:tmpl w:val="597C7720"/>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 w15:restartNumberingAfterBreak="0">
    <w:nsid w:val="132C3D8C"/>
    <w:multiLevelType w:val="hybridMultilevel"/>
    <w:tmpl w:val="8FD8B2E8"/>
    <w:lvl w:ilvl="0" w:tplc="34090001">
      <w:start w:val="1"/>
      <w:numFmt w:val="bullet"/>
      <w:lvlText w:val=""/>
      <w:lvlJc w:val="left"/>
      <w:pPr>
        <w:ind w:left="3240" w:hanging="360"/>
      </w:pPr>
      <w:rPr>
        <w:rFonts w:ascii="Symbol" w:hAnsi="Symbol" w:hint="default"/>
      </w:rPr>
    </w:lvl>
    <w:lvl w:ilvl="1" w:tplc="34090003">
      <w:start w:val="1"/>
      <w:numFmt w:val="bullet"/>
      <w:lvlText w:val="o"/>
      <w:lvlJc w:val="left"/>
      <w:pPr>
        <w:ind w:left="3960" w:hanging="360"/>
      </w:pPr>
      <w:rPr>
        <w:rFonts w:ascii="Courier New" w:hAnsi="Courier New" w:cs="Courier New" w:hint="default"/>
      </w:rPr>
    </w:lvl>
    <w:lvl w:ilvl="2" w:tplc="34090005" w:tentative="1">
      <w:start w:val="1"/>
      <w:numFmt w:val="bullet"/>
      <w:lvlText w:val=""/>
      <w:lvlJc w:val="left"/>
      <w:pPr>
        <w:ind w:left="4680" w:hanging="360"/>
      </w:pPr>
      <w:rPr>
        <w:rFonts w:ascii="Wingdings" w:hAnsi="Wingdings" w:hint="default"/>
      </w:rPr>
    </w:lvl>
    <w:lvl w:ilvl="3" w:tplc="34090001" w:tentative="1">
      <w:start w:val="1"/>
      <w:numFmt w:val="bullet"/>
      <w:lvlText w:val=""/>
      <w:lvlJc w:val="left"/>
      <w:pPr>
        <w:ind w:left="5400" w:hanging="360"/>
      </w:pPr>
      <w:rPr>
        <w:rFonts w:ascii="Symbol" w:hAnsi="Symbol" w:hint="default"/>
      </w:rPr>
    </w:lvl>
    <w:lvl w:ilvl="4" w:tplc="34090003" w:tentative="1">
      <w:start w:val="1"/>
      <w:numFmt w:val="bullet"/>
      <w:lvlText w:val="o"/>
      <w:lvlJc w:val="left"/>
      <w:pPr>
        <w:ind w:left="6120" w:hanging="360"/>
      </w:pPr>
      <w:rPr>
        <w:rFonts w:ascii="Courier New" w:hAnsi="Courier New" w:cs="Courier New" w:hint="default"/>
      </w:rPr>
    </w:lvl>
    <w:lvl w:ilvl="5" w:tplc="34090005" w:tentative="1">
      <w:start w:val="1"/>
      <w:numFmt w:val="bullet"/>
      <w:lvlText w:val=""/>
      <w:lvlJc w:val="left"/>
      <w:pPr>
        <w:ind w:left="6840" w:hanging="360"/>
      </w:pPr>
      <w:rPr>
        <w:rFonts w:ascii="Wingdings" w:hAnsi="Wingdings" w:hint="default"/>
      </w:rPr>
    </w:lvl>
    <w:lvl w:ilvl="6" w:tplc="34090001" w:tentative="1">
      <w:start w:val="1"/>
      <w:numFmt w:val="bullet"/>
      <w:lvlText w:val=""/>
      <w:lvlJc w:val="left"/>
      <w:pPr>
        <w:ind w:left="7560" w:hanging="360"/>
      </w:pPr>
      <w:rPr>
        <w:rFonts w:ascii="Symbol" w:hAnsi="Symbol" w:hint="default"/>
      </w:rPr>
    </w:lvl>
    <w:lvl w:ilvl="7" w:tplc="34090003" w:tentative="1">
      <w:start w:val="1"/>
      <w:numFmt w:val="bullet"/>
      <w:lvlText w:val="o"/>
      <w:lvlJc w:val="left"/>
      <w:pPr>
        <w:ind w:left="8280" w:hanging="360"/>
      </w:pPr>
      <w:rPr>
        <w:rFonts w:ascii="Courier New" w:hAnsi="Courier New" w:cs="Courier New" w:hint="default"/>
      </w:rPr>
    </w:lvl>
    <w:lvl w:ilvl="8" w:tplc="34090005" w:tentative="1">
      <w:start w:val="1"/>
      <w:numFmt w:val="bullet"/>
      <w:lvlText w:val=""/>
      <w:lvlJc w:val="left"/>
      <w:pPr>
        <w:ind w:left="9000" w:hanging="360"/>
      </w:pPr>
      <w:rPr>
        <w:rFonts w:ascii="Wingdings" w:hAnsi="Wingdings" w:hint="default"/>
      </w:rPr>
    </w:lvl>
  </w:abstractNum>
  <w:abstractNum w:abstractNumId="2" w15:restartNumberingAfterBreak="0">
    <w:nsid w:val="1D5E55DF"/>
    <w:multiLevelType w:val="hybridMultilevel"/>
    <w:tmpl w:val="F5DA38D2"/>
    <w:lvl w:ilvl="0" w:tplc="C938247C">
      <w:start w:val="1"/>
      <w:numFmt w:val="lowerLetter"/>
      <w:lvlText w:val="%1."/>
      <w:lvlJc w:val="left"/>
      <w:pPr>
        <w:ind w:left="990" w:hanging="360"/>
      </w:pPr>
      <w:rPr>
        <w:rFonts w:hint="default"/>
      </w:rPr>
    </w:lvl>
    <w:lvl w:ilvl="1" w:tplc="34090019" w:tentative="1">
      <w:start w:val="1"/>
      <w:numFmt w:val="lowerLetter"/>
      <w:lvlText w:val="%2."/>
      <w:lvlJc w:val="left"/>
      <w:pPr>
        <w:ind w:left="1710" w:hanging="360"/>
      </w:pPr>
    </w:lvl>
    <w:lvl w:ilvl="2" w:tplc="3409001B" w:tentative="1">
      <w:start w:val="1"/>
      <w:numFmt w:val="lowerRoman"/>
      <w:lvlText w:val="%3."/>
      <w:lvlJc w:val="right"/>
      <w:pPr>
        <w:ind w:left="2430" w:hanging="180"/>
      </w:pPr>
    </w:lvl>
    <w:lvl w:ilvl="3" w:tplc="3409000F" w:tentative="1">
      <w:start w:val="1"/>
      <w:numFmt w:val="decimal"/>
      <w:lvlText w:val="%4."/>
      <w:lvlJc w:val="left"/>
      <w:pPr>
        <w:ind w:left="3150" w:hanging="360"/>
      </w:pPr>
    </w:lvl>
    <w:lvl w:ilvl="4" w:tplc="34090019" w:tentative="1">
      <w:start w:val="1"/>
      <w:numFmt w:val="lowerLetter"/>
      <w:lvlText w:val="%5."/>
      <w:lvlJc w:val="left"/>
      <w:pPr>
        <w:ind w:left="3870" w:hanging="360"/>
      </w:pPr>
    </w:lvl>
    <w:lvl w:ilvl="5" w:tplc="3409001B" w:tentative="1">
      <w:start w:val="1"/>
      <w:numFmt w:val="lowerRoman"/>
      <w:lvlText w:val="%6."/>
      <w:lvlJc w:val="right"/>
      <w:pPr>
        <w:ind w:left="4590" w:hanging="180"/>
      </w:pPr>
    </w:lvl>
    <w:lvl w:ilvl="6" w:tplc="3409000F" w:tentative="1">
      <w:start w:val="1"/>
      <w:numFmt w:val="decimal"/>
      <w:lvlText w:val="%7."/>
      <w:lvlJc w:val="left"/>
      <w:pPr>
        <w:ind w:left="5310" w:hanging="360"/>
      </w:pPr>
    </w:lvl>
    <w:lvl w:ilvl="7" w:tplc="34090019" w:tentative="1">
      <w:start w:val="1"/>
      <w:numFmt w:val="lowerLetter"/>
      <w:lvlText w:val="%8."/>
      <w:lvlJc w:val="left"/>
      <w:pPr>
        <w:ind w:left="6030" w:hanging="360"/>
      </w:pPr>
    </w:lvl>
    <w:lvl w:ilvl="8" w:tplc="3409001B" w:tentative="1">
      <w:start w:val="1"/>
      <w:numFmt w:val="lowerRoman"/>
      <w:lvlText w:val="%9."/>
      <w:lvlJc w:val="right"/>
      <w:pPr>
        <w:ind w:left="6750" w:hanging="180"/>
      </w:pPr>
    </w:lvl>
  </w:abstractNum>
  <w:abstractNum w:abstractNumId="3" w15:restartNumberingAfterBreak="0">
    <w:nsid w:val="222D5398"/>
    <w:multiLevelType w:val="hybridMultilevel"/>
    <w:tmpl w:val="78D0528E"/>
    <w:lvl w:ilvl="0" w:tplc="34090001">
      <w:start w:val="1"/>
      <w:numFmt w:val="bullet"/>
      <w:lvlText w:val=""/>
      <w:lvlJc w:val="left"/>
      <w:pPr>
        <w:ind w:left="1620" w:hanging="360"/>
      </w:pPr>
      <w:rPr>
        <w:rFonts w:ascii="Symbol" w:hAnsi="Symbol" w:hint="default"/>
      </w:rPr>
    </w:lvl>
    <w:lvl w:ilvl="1" w:tplc="34090003" w:tentative="1">
      <w:start w:val="1"/>
      <w:numFmt w:val="bullet"/>
      <w:lvlText w:val="o"/>
      <w:lvlJc w:val="left"/>
      <w:pPr>
        <w:ind w:left="2340" w:hanging="360"/>
      </w:pPr>
      <w:rPr>
        <w:rFonts w:ascii="Courier New" w:hAnsi="Courier New" w:cs="Courier New" w:hint="default"/>
      </w:rPr>
    </w:lvl>
    <w:lvl w:ilvl="2" w:tplc="34090005" w:tentative="1">
      <w:start w:val="1"/>
      <w:numFmt w:val="bullet"/>
      <w:lvlText w:val=""/>
      <w:lvlJc w:val="left"/>
      <w:pPr>
        <w:ind w:left="3060" w:hanging="360"/>
      </w:pPr>
      <w:rPr>
        <w:rFonts w:ascii="Wingdings" w:hAnsi="Wingdings" w:hint="default"/>
      </w:rPr>
    </w:lvl>
    <w:lvl w:ilvl="3" w:tplc="34090001" w:tentative="1">
      <w:start w:val="1"/>
      <w:numFmt w:val="bullet"/>
      <w:lvlText w:val=""/>
      <w:lvlJc w:val="left"/>
      <w:pPr>
        <w:ind w:left="3780" w:hanging="360"/>
      </w:pPr>
      <w:rPr>
        <w:rFonts w:ascii="Symbol" w:hAnsi="Symbol" w:hint="default"/>
      </w:rPr>
    </w:lvl>
    <w:lvl w:ilvl="4" w:tplc="34090003" w:tentative="1">
      <w:start w:val="1"/>
      <w:numFmt w:val="bullet"/>
      <w:lvlText w:val="o"/>
      <w:lvlJc w:val="left"/>
      <w:pPr>
        <w:ind w:left="4500" w:hanging="360"/>
      </w:pPr>
      <w:rPr>
        <w:rFonts w:ascii="Courier New" w:hAnsi="Courier New" w:cs="Courier New" w:hint="default"/>
      </w:rPr>
    </w:lvl>
    <w:lvl w:ilvl="5" w:tplc="34090005" w:tentative="1">
      <w:start w:val="1"/>
      <w:numFmt w:val="bullet"/>
      <w:lvlText w:val=""/>
      <w:lvlJc w:val="left"/>
      <w:pPr>
        <w:ind w:left="5220" w:hanging="360"/>
      </w:pPr>
      <w:rPr>
        <w:rFonts w:ascii="Wingdings" w:hAnsi="Wingdings" w:hint="default"/>
      </w:rPr>
    </w:lvl>
    <w:lvl w:ilvl="6" w:tplc="34090001" w:tentative="1">
      <w:start w:val="1"/>
      <w:numFmt w:val="bullet"/>
      <w:lvlText w:val=""/>
      <w:lvlJc w:val="left"/>
      <w:pPr>
        <w:ind w:left="5940" w:hanging="360"/>
      </w:pPr>
      <w:rPr>
        <w:rFonts w:ascii="Symbol" w:hAnsi="Symbol" w:hint="default"/>
      </w:rPr>
    </w:lvl>
    <w:lvl w:ilvl="7" w:tplc="34090003" w:tentative="1">
      <w:start w:val="1"/>
      <w:numFmt w:val="bullet"/>
      <w:lvlText w:val="o"/>
      <w:lvlJc w:val="left"/>
      <w:pPr>
        <w:ind w:left="6660" w:hanging="360"/>
      </w:pPr>
      <w:rPr>
        <w:rFonts w:ascii="Courier New" w:hAnsi="Courier New" w:cs="Courier New" w:hint="default"/>
      </w:rPr>
    </w:lvl>
    <w:lvl w:ilvl="8" w:tplc="34090005" w:tentative="1">
      <w:start w:val="1"/>
      <w:numFmt w:val="bullet"/>
      <w:lvlText w:val=""/>
      <w:lvlJc w:val="left"/>
      <w:pPr>
        <w:ind w:left="7380" w:hanging="360"/>
      </w:pPr>
      <w:rPr>
        <w:rFonts w:ascii="Wingdings" w:hAnsi="Wingdings" w:hint="default"/>
      </w:rPr>
    </w:lvl>
  </w:abstractNum>
  <w:abstractNum w:abstractNumId="4" w15:restartNumberingAfterBreak="0">
    <w:nsid w:val="28895CF6"/>
    <w:multiLevelType w:val="hybridMultilevel"/>
    <w:tmpl w:val="9A6234D2"/>
    <w:lvl w:ilvl="0" w:tplc="34090001">
      <w:start w:val="1"/>
      <w:numFmt w:val="bullet"/>
      <w:lvlText w:val=""/>
      <w:lvlJc w:val="left"/>
      <w:pPr>
        <w:ind w:left="3420" w:hanging="360"/>
      </w:pPr>
      <w:rPr>
        <w:rFonts w:ascii="Symbol" w:hAnsi="Symbol" w:hint="default"/>
      </w:rPr>
    </w:lvl>
    <w:lvl w:ilvl="1" w:tplc="34090003" w:tentative="1">
      <w:start w:val="1"/>
      <w:numFmt w:val="bullet"/>
      <w:lvlText w:val="o"/>
      <w:lvlJc w:val="left"/>
      <w:pPr>
        <w:ind w:left="4140" w:hanging="360"/>
      </w:pPr>
      <w:rPr>
        <w:rFonts w:ascii="Courier New" w:hAnsi="Courier New" w:cs="Courier New" w:hint="default"/>
      </w:rPr>
    </w:lvl>
    <w:lvl w:ilvl="2" w:tplc="34090005" w:tentative="1">
      <w:start w:val="1"/>
      <w:numFmt w:val="bullet"/>
      <w:lvlText w:val=""/>
      <w:lvlJc w:val="left"/>
      <w:pPr>
        <w:ind w:left="4860" w:hanging="360"/>
      </w:pPr>
      <w:rPr>
        <w:rFonts w:ascii="Wingdings" w:hAnsi="Wingdings" w:hint="default"/>
      </w:rPr>
    </w:lvl>
    <w:lvl w:ilvl="3" w:tplc="34090001" w:tentative="1">
      <w:start w:val="1"/>
      <w:numFmt w:val="bullet"/>
      <w:lvlText w:val=""/>
      <w:lvlJc w:val="left"/>
      <w:pPr>
        <w:ind w:left="5580" w:hanging="360"/>
      </w:pPr>
      <w:rPr>
        <w:rFonts w:ascii="Symbol" w:hAnsi="Symbol" w:hint="default"/>
      </w:rPr>
    </w:lvl>
    <w:lvl w:ilvl="4" w:tplc="34090003" w:tentative="1">
      <w:start w:val="1"/>
      <w:numFmt w:val="bullet"/>
      <w:lvlText w:val="o"/>
      <w:lvlJc w:val="left"/>
      <w:pPr>
        <w:ind w:left="6300" w:hanging="360"/>
      </w:pPr>
      <w:rPr>
        <w:rFonts w:ascii="Courier New" w:hAnsi="Courier New" w:cs="Courier New" w:hint="default"/>
      </w:rPr>
    </w:lvl>
    <w:lvl w:ilvl="5" w:tplc="34090005" w:tentative="1">
      <w:start w:val="1"/>
      <w:numFmt w:val="bullet"/>
      <w:lvlText w:val=""/>
      <w:lvlJc w:val="left"/>
      <w:pPr>
        <w:ind w:left="7020" w:hanging="360"/>
      </w:pPr>
      <w:rPr>
        <w:rFonts w:ascii="Wingdings" w:hAnsi="Wingdings" w:hint="default"/>
      </w:rPr>
    </w:lvl>
    <w:lvl w:ilvl="6" w:tplc="34090001" w:tentative="1">
      <w:start w:val="1"/>
      <w:numFmt w:val="bullet"/>
      <w:lvlText w:val=""/>
      <w:lvlJc w:val="left"/>
      <w:pPr>
        <w:ind w:left="7740" w:hanging="360"/>
      </w:pPr>
      <w:rPr>
        <w:rFonts w:ascii="Symbol" w:hAnsi="Symbol" w:hint="default"/>
      </w:rPr>
    </w:lvl>
    <w:lvl w:ilvl="7" w:tplc="34090003" w:tentative="1">
      <w:start w:val="1"/>
      <w:numFmt w:val="bullet"/>
      <w:lvlText w:val="o"/>
      <w:lvlJc w:val="left"/>
      <w:pPr>
        <w:ind w:left="8460" w:hanging="360"/>
      </w:pPr>
      <w:rPr>
        <w:rFonts w:ascii="Courier New" w:hAnsi="Courier New" w:cs="Courier New" w:hint="default"/>
      </w:rPr>
    </w:lvl>
    <w:lvl w:ilvl="8" w:tplc="34090005" w:tentative="1">
      <w:start w:val="1"/>
      <w:numFmt w:val="bullet"/>
      <w:lvlText w:val=""/>
      <w:lvlJc w:val="left"/>
      <w:pPr>
        <w:ind w:left="9180" w:hanging="360"/>
      </w:pPr>
      <w:rPr>
        <w:rFonts w:ascii="Wingdings" w:hAnsi="Wingdings" w:hint="default"/>
      </w:rPr>
    </w:lvl>
  </w:abstractNum>
  <w:abstractNum w:abstractNumId="5" w15:restartNumberingAfterBreak="0">
    <w:nsid w:val="2D5A05DE"/>
    <w:multiLevelType w:val="hybridMultilevel"/>
    <w:tmpl w:val="894A4C32"/>
    <w:lvl w:ilvl="0" w:tplc="34090001">
      <w:start w:val="1"/>
      <w:numFmt w:val="bullet"/>
      <w:lvlText w:val=""/>
      <w:lvlJc w:val="left"/>
      <w:pPr>
        <w:ind w:left="1800" w:hanging="360"/>
      </w:pPr>
      <w:rPr>
        <w:rFonts w:ascii="Symbol" w:hAnsi="Symbol" w:hint="default"/>
      </w:rPr>
    </w:lvl>
    <w:lvl w:ilvl="1" w:tplc="34090003">
      <w:start w:val="1"/>
      <w:numFmt w:val="bullet"/>
      <w:lvlText w:val="o"/>
      <w:lvlJc w:val="left"/>
      <w:pPr>
        <w:ind w:left="2520" w:hanging="360"/>
      </w:pPr>
      <w:rPr>
        <w:rFonts w:ascii="Courier New" w:hAnsi="Courier New" w:cs="Courier New" w:hint="default"/>
      </w:rPr>
    </w:lvl>
    <w:lvl w:ilvl="2" w:tplc="34090005" w:tentative="1">
      <w:start w:val="1"/>
      <w:numFmt w:val="bullet"/>
      <w:lvlText w:val=""/>
      <w:lvlJc w:val="left"/>
      <w:pPr>
        <w:ind w:left="3240" w:hanging="360"/>
      </w:pPr>
      <w:rPr>
        <w:rFonts w:ascii="Wingdings" w:hAnsi="Wingdings" w:hint="default"/>
      </w:rPr>
    </w:lvl>
    <w:lvl w:ilvl="3" w:tplc="34090001" w:tentative="1">
      <w:start w:val="1"/>
      <w:numFmt w:val="bullet"/>
      <w:lvlText w:val=""/>
      <w:lvlJc w:val="left"/>
      <w:pPr>
        <w:ind w:left="3960" w:hanging="360"/>
      </w:pPr>
      <w:rPr>
        <w:rFonts w:ascii="Symbol" w:hAnsi="Symbol" w:hint="default"/>
      </w:rPr>
    </w:lvl>
    <w:lvl w:ilvl="4" w:tplc="34090003" w:tentative="1">
      <w:start w:val="1"/>
      <w:numFmt w:val="bullet"/>
      <w:lvlText w:val="o"/>
      <w:lvlJc w:val="left"/>
      <w:pPr>
        <w:ind w:left="4680" w:hanging="360"/>
      </w:pPr>
      <w:rPr>
        <w:rFonts w:ascii="Courier New" w:hAnsi="Courier New" w:cs="Courier New" w:hint="default"/>
      </w:rPr>
    </w:lvl>
    <w:lvl w:ilvl="5" w:tplc="34090005" w:tentative="1">
      <w:start w:val="1"/>
      <w:numFmt w:val="bullet"/>
      <w:lvlText w:val=""/>
      <w:lvlJc w:val="left"/>
      <w:pPr>
        <w:ind w:left="5400" w:hanging="360"/>
      </w:pPr>
      <w:rPr>
        <w:rFonts w:ascii="Wingdings" w:hAnsi="Wingdings" w:hint="default"/>
      </w:rPr>
    </w:lvl>
    <w:lvl w:ilvl="6" w:tplc="34090001" w:tentative="1">
      <w:start w:val="1"/>
      <w:numFmt w:val="bullet"/>
      <w:lvlText w:val=""/>
      <w:lvlJc w:val="left"/>
      <w:pPr>
        <w:ind w:left="6120" w:hanging="360"/>
      </w:pPr>
      <w:rPr>
        <w:rFonts w:ascii="Symbol" w:hAnsi="Symbol" w:hint="default"/>
      </w:rPr>
    </w:lvl>
    <w:lvl w:ilvl="7" w:tplc="34090003" w:tentative="1">
      <w:start w:val="1"/>
      <w:numFmt w:val="bullet"/>
      <w:lvlText w:val="o"/>
      <w:lvlJc w:val="left"/>
      <w:pPr>
        <w:ind w:left="6840" w:hanging="360"/>
      </w:pPr>
      <w:rPr>
        <w:rFonts w:ascii="Courier New" w:hAnsi="Courier New" w:cs="Courier New" w:hint="default"/>
      </w:rPr>
    </w:lvl>
    <w:lvl w:ilvl="8" w:tplc="34090005" w:tentative="1">
      <w:start w:val="1"/>
      <w:numFmt w:val="bullet"/>
      <w:lvlText w:val=""/>
      <w:lvlJc w:val="left"/>
      <w:pPr>
        <w:ind w:left="7560" w:hanging="360"/>
      </w:pPr>
      <w:rPr>
        <w:rFonts w:ascii="Wingdings" w:hAnsi="Wingdings" w:hint="default"/>
      </w:rPr>
    </w:lvl>
  </w:abstractNum>
  <w:abstractNum w:abstractNumId="6" w15:restartNumberingAfterBreak="0">
    <w:nsid w:val="33C43650"/>
    <w:multiLevelType w:val="hybridMultilevel"/>
    <w:tmpl w:val="D7E64508"/>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7" w15:restartNumberingAfterBreak="0">
    <w:nsid w:val="3B2B1346"/>
    <w:multiLevelType w:val="hybridMultilevel"/>
    <w:tmpl w:val="CB9E16DC"/>
    <w:lvl w:ilvl="0" w:tplc="F9363EDC">
      <w:numFmt w:val="bullet"/>
      <w:lvlText w:val="•"/>
      <w:lvlJc w:val="left"/>
      <w:pPr>
        <w:ind w:left="1440" w:hanging="360"/>
      </w:pPr>
      <w:rPr>
        <w:rFonts w:ascii="Times New Roman" w:eastAsia="Times New Roman" w:hAnsi="Times New Roman" w:cs="Times New Roman"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8" w15:restartNumberingAfterBreak="0">
    <w:nsid w:val="42F56AB0"/>
    <w:multiLevelType w:val="hybridMultilevel"/>
    <w:tmpl w:val="35FC5E94"/>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9" w15:restartNumberingAfterBreak="0">
    <w:nsid w:val="443E494E"/>
    <w:multiLevelType w:val="hybridMultilevel"/>
    <w:tmpl w:val="9ED4C694"/>
    <w:lvl w:ilvl="0" w:tplc="34090001">
      <w:start w:val="1"/>
      <w:numFmt w:val="bullet"/>
      <w:lvlText w:val=""/>
      <w:lvlJc w:val="left"/>
      <w:pPr>
        <w:ind w:left="1471" w:hanging="360"/>
      </w:pPr>
      <w:rPr>
        <w:rFonts w:ascii="Symbol" w:hAnsi="Symbol"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10" w15:restartNumberingAfterBreak="0">
    <w:nsid w:val="4C7F65A7"/>
    <w:multiLevelType w:val="hybridMultilevel"/>
    <w:tmpl w:val="6DFE3124"/>
    <w:lvl w:ilvl="0" w:tplc="A232D11A">
      <w:start w:val="21"/>
      <w:numFmt w:val="bullet"/>
      <w:lvlText w:val="-"/>
      <w:lvlJc w:val="left"/>
      <w:pPr>
        <w:ind w:left="420" w:hanging="360"/>
      </w:pPr>
      <w:rPr>
        <w:rFonts w:ascii="Times New Roman" w:eastAsia="Times New Roman" w:hAnsi="Times New Roman" w:cs="Times New Roman" w:hint="default"/>
      </w:rPr>
    </w:lvl>
    <w:lvl w:ilvl="1" w:tplc="34090003" w:tentative="1">
      <w:start w:val="1"/>
      <w:numFmt w:val="bullet"/>
      <w:lvlText w:val="o"/>
      <w:lvlJc w:val="left"/>
      <w:pPr>
        <w:ind w:left="1140" w:hanging="360"/>
      </w:pPr>
      <w:rPr>
        <w:rFonts w:ascii="Courier New" w:hAnsi="Courier New" w:cs="Courier New" w:hint="default"/>
      </w:rPr>
    </w:lvl>
    <w:lvl w:ilvl="2" w:tplc="34090005" w:tentative="1">
      <w:start w:val="1"/>
      <w:numFmt w:val="bullet"/>
      <w:lvlText w:val=""/>
      <w:lvlJc w:val="left"/>
      <w:pPr>
        <w:ind w:left="1860" w:hanging="360"/>
      </w:pPr>
      <w:rPr>
        <w:rFonts w:ascii="Wingdings" w:hAnsi="Wingdings" w:hint="default"/>
      </w:rPr>
    </w:lvl>
    <w:lvl w:ilvl="3" w:tplc="34090001" w:tentative="1">
      <w:start w:val="1"/>
      <w:numFmt w:val="bullet"/>
      <w:lvlText w:val=""/>
      <w:lvlJc w:val="left"/>
      <w:pPr>
        <w:ind w:left="2580" w:hanging="360"/>
      </w:pPr>
      <w:rPr>
        <w:rFonts w:ascii="Symbol" w:hAnsi="Symbol" w:hint="default"/>
      </w:rPr>
    </w:lvl>
    <w:lvl w:ilvl="4" w:tplc="34090003" w:tentative="1">
      <w:start w:val="1"/>
      <w:numFmt w:val="bullet"/>
      <w:lvlText w:val="o"/>
      <w:lvlJc w:val="left"/>
      <w:pPr>
        <w:ind w:left="3300" w:hanging="360"/>
      </w:pPr>
      <w:rPr>
        <w:rFonts w:ascii="Courier New" w:hAnsi="Courier New" w:cs="Courier New" w:hint="default"/>
      </w:rPr>
    </w:lvl>
    <w:lvl w:ilvl="5" w:tplc="34090005" w:tentative="1">
      <w:start w:val="1"/>
      <w:numFmt w:val="bullet"/>
      <w:lvlText w:val=""/>
      <w:lvlJc w:val="left"/>
      <w:pPr>
        <w:ind w:left="4020" w:hanging="360"/>
      </w:pPr>
      <w:rPr>
        <w:rFonts w:ascii="Wingdings" w:hAnsi="Wingdings" w:hint="default"/>
      </w:rPr>
    </w:lvl>
    <w:lvl w:ilvl="6" w:tplc="34090001" w:tentative="1">
      <w:start w:val="1"/>
      <w:numFmt w:val="bullet"/>
      <w:lvlText w:val=""/>
      <w:lvlJc w:val="left"/>
      <w:pPr>
        <w:ind w:left="4740" w:hanging="360"/>
      </w:pPr>
      <w:rPr>
        <w:rFonts w:ascii="Symbol" w:hAnsi="Symbol" w:hint="default"/>
      </w:rPr>
    </w:lvl>
    <w:lvl w:ilvl="7" w:tplc="34090003" w:tentative="1">
      <w:start w:val="1"/>
      <w:numFmt w:val="bullet"/>
      <w:lvlText w:val="o"/>
      <w:lvlJc w:val="left"/>
      <w:pPr>
        <w:ind w:left="5460" w:hanging="360"/>
      </w:pPr>
      <w:rPr>
        <w:rFonts w:ascii="Courier New" w:hAnsi="Courier New" w:cs="Courier New" w:hint="default"/>
      </w:rPr>
    </w:lvl>
    <w:lvl w:ilvl="8" w:tplc="34090005" w:tentative="1">
      <w:start w:val="1"/>
      <w:numFmt w:val="bullet"/>
      <w:lvlText w:val=""/>
      <w:lvlJc w:val="left"/>
      <w:pPr>
        <w:ind w:left="6180" w:hanging="360"/>
      </w:pPr>
      <w:rPr>
        <w:rFonts w:ascii="Wingdings" w:hAnsi="Wingdings" w:hint="default"/>
      </w:rPr>
    </w:lvl>
  </w:abstractNum>
  <w:abstractNum w:abstractNumId="11" w15:restartNumberingAfterBreak="0">
    <w:nsid w:val="50C14204"/>
    <w:multiLevelType w:val="hybridMultilevel"/>
    <w:tmpl w:val="B164C614"/>
    <w:lvl w:ilvl="0" w:tplc="34090001">
      <w:start w:val="1"/>
      <w:numFmt w:val="bullet"/>
      <w:lvlText w:val=""/>
      <w:lvlJc w:val="left"/>
      <w:pPr>
        <w:ind w:left="720" w:hanging="360"/>
      </w:pPr>
      <w:rPr>
        <w:rFonts w:ascii="Symbol" w:hAnsi="Symbol" w:hint="default"/>
      </w:rPr>
    </w:lvl>
    <w:lvl w:ilvl="1" w:tplc="34090003">
      <w:start w:val="1"/>
      <w:numFmt w:val="bullet"/>
      <w:lvlText w:val="o"/>
      <w:lvlJc w:val="left"/>
      <w:pPr>
        <w:ind w:left="1440" w:hanging="360"/>
      </w:pPr>
      <w:rPr>
        <w:rFonts w:ascii="Courier New" w:hAnsi="Courier New" w:cs="Courier New" w:hint="default"/>
      </w:rPr>
    </w:lvl>
    <w:lvl w:ilvl="2" w:tplc="34090005">
      <w:start w:val="1"/>
      <w:numFmt w:val="bullet"/>
      <w:lvlText w:val=""/>
      <w:lvlJc w:val="left"/>
      <w:pPr>
        <w:ind w:left="2160" w:hanging="360"/>
      </w:pPr>
      <w:rPr>
        <w:rFonts w:ascii="Wingdings" w:hAnsi="Wingdings" w:hint="default"/>
      </w:rPr>
    </w:lvl>
    <w:lvl w:ilvl="3" w:tplc="34090001">
      <w:start w:val="1"/>
      <w:numFmt w:val="bullet"/>
      <w:lvlText w:val=""/>
      <w:lvlJc w:val="left"/>
      <w:pPr>
        <w:ind w:left="2880" w:hanging="360"/>
      </w:pPr>
      <w:rPr>
        <w:rFonts w:ascii="Symbol" w:hAnsi="Symbol" w:hint="default"/>
      </w:rPr>
    </w:lvl>
    <w:lvl w:ilvl="4" w:tplc="34090003" w:tentative="1">
      <w:start w:val="1"/>
      <w:numFmt w:val="bullet"/>
      <w:lvlText w:val="o"/>
      <w:lvlJc w:val="left"/>
      <w:pPr>
        <w:ind w:left="3600" w:hanging="360"/>
      </w:pPr>
      <w:rPr>
        <w:rFonts w:ascii="Courier New" w:hAnsi="Courier New" w:cs="Courier New" w:hint="default"/>
      </w:rPr>
    </w:lvl>
    <w:lvl w:ilvl="5" w:tplc="34090005" w:tentative="1">
      <w:start w:val="1"/>
      <w:numFmt w:val="bullet"/>
      <w:lvlText w:val=""/>
      <w:lvlJc w:val="left"/>
      <w:pPr>
        <w:ind w:left="4320" w:hanging="360"/>
      </w:pPr>
      <w:rPr>
        <w:rFonts w:ascii="Wingdings" w:hAnsi="Wingdings" w:hint="default"/>
      </w:rPr>
    </w:lvl>
    <w:lvl w:ilvl="6" w:tplc="34090001" w:tentative="1">
      <w:start w:val="1"/>
      <w:numFmt w:val="bullet"/>
      <w:lvlText w:val=""/>
      <w:lvlJc w:val="left"/>
      <w:pPr>
        <w:ind w:left="5040" w:hanging="360"/>
      </w:pPr>
      <w:rPr>
        <w:rFonts w:ascii="Symbol" w:hAnsi="Symbol" w:hint="default"/>
      </w:rPr>
    </w:lvl>
    <w:lvl w:ilvl="7" w:tplc="34090003" w:tentative="1">
      <w:start w:val="1"/>
      <w:numFmt w:val="bullet"/>
      <w:lvlText w:val="o"/>
      <w:lvlJc w:val="left"/>
      <w:pPr>
        <w:ind w:left="5760" w:hanging="360"/>
      </w:pPr>
      <w:rPr>
        <w:rFonts w:ascii="Courier New" w:hAnsi="Courier New" w:cs="Courier New" w:hint="default"/>
      </w:rPr>
    </w:lvl>
    <w:lvl w:ilvl="8" w:tplc="34090005" w:tentative="1">
      <w:start w:val="1"/>
      <w:numFmt w:val="bullet"/>
      <w:lvlText w:val=""/>
      <w:lvlJc w:val="left"/>
      <w:pPr>
        <w:ind w:left="6480" w:hanging="360"/>
      </w:pPr>
      <w:rPr>
        <w:rFonts w:ascii="Wingdings" w:hAnsi="Wingdings" w:hint="default"/>
      </w:rPr>
    </w:lvl>
  </w:abstractNum>
  <w:abstractNum w:abstractNumId="12" w15:restartNumberingAfterBreak="0">
    <w:nsid w:val="512135BA"/>
    <w:multiLevelType w:val="hybridMultilevel"/>
    <w:tmpl w:val="A5D2D782"/>
    <w:lvl w:ilvl="0" w:tplc="34090001">
      <w:start w:val="1"/>
      <w:numFmt w:val="bullet"/>
      <w:lvlText w:val=""/>
      <w:lvlJc w:val="left"/>
      <w:pPr>
        <w:ind w:left="1624" w:hanging="360"/>
      </w:pPr>
      <w:rPr>
        <w:rFonts w:ascii="Symbol" w:hAnsi="Symbol" w:hint="default"/>
      </w:rPr>
    </w:lvl>
    <w:lvl w:ilvl="1" w:tplc="34090003" w:tentative="1">
      <w:start w:val="1"/>
      <w:numFmt w:val="bullet"/>
      <w:lvlText w:val="o"/>
      <w:lvlJc w:val="left"/>
      <w:pPr>
        <w:ind w:left="2344" w:hanging="360"/>
      </w:pPr>
      <w:rPr>
        <w:rFonts w:ascii="Courier New" w:hAnsi="Courier New" w:cs="Courier New" w:hint="default"/>
      </w:rPr>
    </w:lvl>
    <w:lvl w:ilvl="2" w:tplc="34090005" w:tentative="1">
      <w:start w:val="1"/>
      <w:numFmt w:val="bullet"/>
      <w:lvlText w:val=""/>
      <w:lvlJc w:val="left"/>
      <w:pPr>
        <w:ind w:left="3064" w:hanging="360"/>
      </w:pPr>
      <w:rPr>
        <w:rFonts w:ascii="Wingdings" w:hAnsi="Wingdings" w:hint="default"/>
      </w:rPr>
    </w:lvl>
    <w:lvl w:ilvl="3" w:tplc="34090001" w:tentative="1">
      <w:start w:val="1"/>
      <w:numFmt w:val="bullet"/>
      <w:lvlText w:val=""/>
      <w:lvlJc w:val="left"/>
      <w:pPr>
        <w:ind w:left="3784" w:hanging="360"/>
      </w:pPr>
      <w:rPr>
        <w:rFonts w:ascii="Symbol" w:hAnsi="Symbol" w:hint="default"/>
      </w:rPr>
    </w:lvl>
    <w:lvl w:ilvl="4" w:tplc="34090003" w:tentative="1">
      <w:start w:val="1"/>
      <w:numFmt w:val="bullet"/>
      <w:lvlText w:val="o"/>
      <w:lvlJc w:val="left"/>
      <w:pPr>
        <w:ind w:left="4504" w:hanging="360"/>
      </w:pPr>
      <w:rPr>
        <w:rFonts w:ascii="Courier New" w:hAnsi="Courier New" w:cs="Courier New" w:hint="default"/>
      </w:rPr>
    </w:lvl>
    <w:lvl w:ilvl="5" w:tplc="34090005" w:tentative="1">
      <w:start w:val="1"/>
      <w:numFmt w:val="bullet"/>
      <w:lvlText w:val=""/>
      <w:lvlJc w:val="left"/>
      <w:pPr>
        <w:ind w:left="5224" w:hanging="360"/>
      </w:pPr>
      <w:rPr>
        <w:rFonts w:ascii="Wingdings" w:hAnsi="Wingdings" w:hint="default"/>
      </w:rPr>
    </w:lvl>
    <w:lvl w:ilvl="6" w:tplc="34090001" w:tentative="1">
      <w:start w:val="1"/>
      <w:numFmt w:val="bullet"/>
      <w:lvlText w:val=""/>
      <w:lvlJc w:val="left"/>
      <w:pPr>
        <w:ind w:left="5944" w:hanging="360"/>
      </w:pPr>
      <w:rPr>
        <w:rFonts w:ascii="Symbol" w:hAnsi="Symbol" w:hint="default"/>
      </w:rPr>
    </w:lvl>
    <w:lvl w:ilvl="7" w:tplc="34090003" w:tentative="1">
      <w:start w:val="1"/>
      <w:numFmt w:val="bullet"/>
      <w:lvlText w:val="o"/>
      <w:lvlJc w:val="left"/>
      <w:pPr>
        <w:ind w:left="6664" w:hanging="360"/>
      </w:pPr>
      <w:rPr>
        <w:rFonts w:ascii="Courier New" w:hAnsi="Courier New" w:cs="Courier New" w:hint="default"/>
      </w:rPr>
    </w:lvl>
    <w:lvl w:ilvl="8" w:tplc="34090005" w:tentative="1">
      <w:start w:val="1"/>
      <w:numFmt w:val="bullet"/>
      <w:lvlText w:val=""/>
      <w:lvlJc w:val="left"/>
      <w:pPr>
        <w:ind w:left="7384" w:hanging="360"/>
      </w:pPr>
      <w:rPr>
        <w:rFonts w:ascii="Wingdings" w:hAnsi="Wingdings" w:hint="default"/>
      </w:rPr>
    </w:lvl>
  </w:abstractNum>
  <w:abstractNum w:abstractNumId="13" w15:restartNumberingAfterBreak="0">
    <w:nsid w:val="5FDE09B5"/>
    <w:multiLevelType w:val="hybridMultilevel"/>
    <w:tmpl w:val="79A410B6"/>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4" w15:restartNumberingAfterBreak="0">
    <w:nsid w:val="60491FFE"/>
    <w:multiLevelType w:val="hybridMultilevel"/>
    <w:tmpl w:val="0054DB18"/>
    <w:lvl w:ilvl="0" w:tplc="3409000B">
      <w:start w:val="1"/>
      <w:numFmt w:val="bullet"/>
      <w:lvlText w:val=""/>
      <w:lvlJc w:val="left"/>
      <w:pPr>
        <w:ind w:left="1471" w:hanging="360"/>
      </w:pPr>
      <w:rPr>
        <w:rFonts w:ascii="Wingdings" w:hAnsi="Wingdings" w:hint="default"/>
      </w:rPr>
    </w:lvl>
    <w:lvl w:ilvl="1" w:tplc="34090003">
      <w:start w:val="1"/>
      <w:numFmt w:val="bullet"/>
      <w:lvlText w:val="o"/>
      <w:lvlJc w:val="left"/>
      <w:pPr>
        <w:ind w:left="2191" w:hanging="360"/>
      </w:pPr>
      <w:rPr>
        <w:rFonts w:ascii="Courier New" w:hAnsi="Courier New" w:cs="Courier New" w:hint="default"/>
      </w:rPr>
    </w:lvl>
    <w:lvl w:ilvl="2" w:tplc="34090005">
      <w:start w:val="1"/>
      <w:numFmt w:val="bullet"/>
      <w:lvlText w:val=""/>
      <w:lvlJc w:val="left"/>
      <w:pPr>
        <w:ind w:left="2911" w:hanging="360"/>
      </w:pPr>
      <w:rPr>
        <w:rFonts w:ascii="Wingdings" w:hAnsi="Wingdings" w:hint="default"/>
      </w:rPr>
    </w:lvl>
    <w:lvl w:ilvl="3" w:tplc="34090001" w:tentative="1">
      <w:start w:val="1"/>
      <w:numFmt w:val="bullet"/>
      <w:lvlText w:val=""/>
      <w:lvlJc w:val="left"/>
      <w:pPr>
        <w:ind w:left="3631" w:hanging="360"/>
      </w:pPr>
      <w:rPr>
        <w:rFonts w:ascii="Symbol" w:hAnsi="Symbol" w:hint="default"/>
      </w:rPr>
    </w:lvl>
    <w:lvl w:ilvl="4" w:tplc="34090003" w:tentative="1">
      <w:start w:val="1"/>
      <w:numFmt w:val="bullet"/>
      <w:lvlText w:val="o"/>
      <w:lvlJc w:val="left"/>
      <w:pPr>
        <w:ind w:left="4351" w:hanging="360"/>
      </w:pPr>
      <w:rPr>
        <w:rFonts w:ascii="Courier New" w:hAnsi="Courier New" w:cs="Courier New" w:hint="default"/>
      </w:rPr>
    </w:lvl>
    <w:lvl w:ilvl="5" w:tplc="34090005" w:tentative="1">
      <w:start w:val="1"/>
      <w:numFmt w:val="bullet"/>
      <w:lvlText w:val=""/>
      <w:lvlJc w:val="left"/>
      <w:pPr>
        <w:ind w:left="5071" w:hanging="360"/>
      </w:pPr>
      <w:rPr>
        <w:rFonts w:ascii="Wingdings" w:hAnsi="Wingdings" w:hint="default"/>
      </w:rPr>
    </w:lvl>
    <w:lvl w:ilvl="6" w:tplc="34090001" w:tentative="1">
      <w:start w:val="1"/>
      <w:numFmt w:val="bullet"/>
      <w:lvlText w:val=""/>
      <w:lvlJc w:val="left"/>
      <w:pPr>
        <w:ind w:left="5791" w:hanging="360"/>
      </w:pPr>
      <w:rPr>
        <w:rFonts w:ascii="Symbol" w:hAnsi="Symbol" w:hint="default"/>
      </w:rPr>
    </w:lvl>
    <w:lvl w:ilvl="7" w:tplc="34090003" w:tentative="1">
      <w:start w:val="1"/>
      <w:numFmt w:val="bullet"/>
      <w:lvlText w:val="o"/>
      <w:lvlJc w:val="left"/>
      <w:pPr>
        <w:ind w:left="6511" w:hanging="360"/>
      </w:pPr>
      <w:rPr>
        <w:rFonts w:ascii="Courier New" w:hAnsi="Courier New" w:cs="Courier New" w:hint="default"/>
      </w:rPr>
    </w:lvl>
    <w:lvl w:ilvl="8" w:tplc="34090005" w:tentative="1">
      <w:start w:val="1"/>
      <w:numFmt w:val="bullet"/>
      <w:lvlText w:val=""/>
      <w:lvlJc w:val="left"/>
      <w:pPr>
        <w:ind w:left="7231" w:hanging="360"/>
      </w:pPr>
      <w:rPr>
        <w:rFonts w:ascii="Wingdings" w:hAnsi="Wingdings" w:hint="default"/>
      </w:rPr>
    </w:lvl>
  </w:abstractNum>
  <w:abstractNum w:abstractNumId="15" w15:restartNumberingAfterBreak="0">
    <w:nsid w:val="67126616"/>
    <w:multiLevelType w:val="hybridMultilevel"/>
    <w:tmpl w:val="33C688B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abstractNum w:abstractNumId="16" w15:restartNumberingAfterBreak="0">
    <w:nsid w:val="69C74C93"/>
    <w:multiLevelType w:val="multilevel"/>
    <w:tmpl w:val="ACA47E0A"/>
    <w:lvl w:ilvl="0">
      <w:start w:val="1"/>
      <w:numFmt w:val="decimal"/>
      <w:lvlText w:val="%1."/>
      <w:lvlJc w:val="left"/>
      <w:pPr>
        <w:ind w:left="360" w:hanging="360"/>
      </w:pPr>
      <w:rPr>
        <w:rFonts w:hint="default"/>
        <w:b/>
      </w:rPr>
    </w:lvl>
    <w:lvl w:ilvl="1">
      <w:start w:val="2"/>
      <w:numFmt w:val="decimal"/>
      <w:isLgl/>
      <w:lvlText w:val="%1.%2"/>
      <w:lvlJc w:val="left"/>
      <w:pPr>
        <w:ind w:left="114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7" w15:restartNumberingAfterBreak="0">
    <w:nsid w:val="73A25BF1"/>
    <w:multiLevelType w:val="hybridMultilevel"/>
    <w:tmpl w:val="CAB8717A"/>
    <w:lvl w:ilvl="0" w:tplc="34090019">
      <w:start w:val="1"/>
      <w:numFmt w:val="lowerLetter"/>
      <w:lvlText w:val="%1."/>
      <w:lvlJc w:val="left"/>
      <w:pPr>
        <w:ind w:left="1440" w:hanging="360"/>
      </w:pPr>
    </w:lvl>
    <w:lvl w:ilvl="1" w:tplc="34090019" w:tentative="1">
      <w:start w:val="1"/>
      <w:numFmt w:val="lowerLetter"/>
      <w:lvlText w:val="%2."/>
      <w:lvlJc w:val="left"/>
      <w:pPr>
        <w:ind w:left="2160" w:hanging="360"/>
      </w:pPr>
    </w:lvl>
    <w:lvl w:ilvl="2" w:tplc="3409001B" w:tentative="1">
      <w:start w:val="1"/>
      <w:numFmt w:val="lowerRoman"/>
      <w:lvlText w:val="%3."/>
      <w:lvlJc w:val="right"/>
      <w:pPr>
        <w:ind w:left="2880" w:hanging="180"/>
      </w:pPr>
    </w:lvl>
    <w:lvl w:ilvl="3" w:tplc="3409000F" w:tentative="1">
      <w:start w:val="1"/>
      <w:numFmt w:val="decimal"/>
      <w:lvlText w:val="%4."/>
      <w:lvlJc w:val="left"/>
      <w:pPr>
        <w:ind w:left="3600" w:hanging="360"/>
      </w:pPr>
    </w:lvl>
    <w:lvl w:ilvl="4" w:tplc="34090019" w:tentative="1">
      <w:start w:val="1"/>
      <w:numFmt w:val="lowerLetter"/>
      <w:lvlText w:val="%5."/>
      <w:lvlJc w:val="left"/>
      <w:pPr>
        <w:ind w:left="4320" w:hanging="360"/>
      </w:pPr>
    </w:lvl>
    <w:lvl w:ilvl="5" w:tplc="3409001B" w:tentative="1">
      <w:start w:val="1"/>
      <w:numFmt w:val="lowerRoman"/>
      <w:lvlText w:val="%6."/>
      <w:lvlJc w:val="right"/>
      <w:pPr>
        <w:ind w:left="5040" w:hanging="180"/>
      </w:pPr>
    </w:lvl>
    <w:lvl w:ilvl="6" w:tplc="3409000F" w:tentative="1">
      <w:start w:val="1"/>
      <w:numFmt w:val="decimal"/>
      <w:lvlText w:val="%7."/>
      <w:lvlJc w:val="left"/>
      <w:pPr>
        <w:ind w:left="5760" w:hanging="360"/>
      </w:pPr>
    </w:lvl>
    <w:lvl w:ilvl="7" w:tplc="34090019" w:tentative="1">
      <w:start w:val="1"/>
      <w:numFmt w:val="lowerLetter"/>
      <w:lvlText w:val="%8."/>
      <w:lvlJc w:val="left"/>
      <w:pPr>
        <w:ind w:left="6480" w:hanging="360"/>
      </w:pPr>
    </w:lvl>
    <w:lvl w:ilvl="8" w:tplc="3409001B" w:tentative="1">
      <w:start w:val="1"/>
      <w:numFmt w:val="lowerRoman"/>
      <w:lvlText w:val="%9."/>
      <w:lvlJc w:val="right"/>
      <w:pPr>
        <w:ind w:left="7200" w:hanging="180"/>
      </w:pPr>
    </w:lvl>
  </w:abstractNum>
  <w:abstractNum w:abstractNumId="18" w15:restartNumberingAfterBreak="0">
    <w:nsid w:val="7AD34196"/>
    <w:multiLevelType w:val="multilevel"/>
    <w:tmpl w:val="B3EC0C86"/>
    <w:lvl w:ilvl="0">
      <w:start w:val="3"/>
      <w:numFmt w:val="decimal"/>
      <w:lvlText w:val="%1."/>
      <w:lvlJc w:val="left"/>
      <w:pPr>
        <w:ind w:left="360" w:hanging="360"/>
      </w:pPr>
      <w:rPr>
        <w:rFonts w:hint="default"/>
        <w:b/>
      </w:rPr>
    </w:lvl>
    <w:lvl w:ilvl="1">
      <w:start w:val="1"/>
      <w:numFmt w:val="decimal"/>
      <w:isLgl/>
      <w:lvlText w:val="%1.%2"/>
      <w:lvlJc w:val="left"/>
      <w:pPr>
        <w:ind w:left="1050" w:hanging="4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9" w15:restartNumberingAfterBreak="0">
    <w:nsid w:val="7F414000"/>
    <w:multiLevelType w:val="hybridMultilevel"/>
    <w:tmpl w:val="FEEC4A72"/>
    <w:lvl w:ilvl="0" w:tplc="34090001">
      <w:start w:val="1"/>
      <w:numFmt w:val="bullet"/>
      <w:lvlText w:val=""/>
      <w:lvlJc w:val="left"/>
      <w:pPr>
        <w:ind w:left="1440" w:hanging="360"/>
      </w:pPr>
      <w:rPr>
        <w:rFonts w:ascii="Symbol" w:hAnsi="Symbol" w:hint="default"/>
      </w:rPr>
    </w:lvl>
    <w:lvl w:ilvl="1" w:tplc="34090003" w:tentative="1">
      <w:start w:val="1"/>
      <w:numFmt w:val="bullet"/>
      <w:lvlText w:val="o"/>
      <w:lvlJc w:val="left"/>
      <w:pPr>
        <w:ind w:left="2160" w:hanging="360"/>
      </w:pPr>
      <w:rPr>
        <w:rFonts w:ascii="Courier New" w:hAnsi="Courier New" w:cs="Courier New" w:hint="default"/>
      </w:rPr>
    </w:lvl>
    <w:lvl w:ilvl="2" w:tplc="34090005" w:tentative="1">
      <w:start w:val="1"/>
      <w:numFmt w:val="bullet"/>
      <w:lvlText w:val=""/>
      <w:lvlJc w:val="left"/>
      <w:pPr>
        <w:ind w:left="2880" w:hanging="360"/>
      </w:pPr>
      <w:rPr>
        <w:rFonts w:ascii="Wingdings" w:hAnsi="Wingdings" w:hint="default"/>
      </w:rPr>
    </w:lvl>
    <w:lvl w:ilvl="3" w:tplc="34090001" w:tentative="1">
      <w:start w:val="1"/>
      <w:numFmt w:val="bullet"/>
      <w:lvlText w:val=""/>
      <w:lvlJc w:val="left"/>
      <w:pPr>
        <w:ind w:left="3600" w:hanging="360"/>
      </w:pPr>
      <w:rPr>
        <w:rFonts w:ascii="Symbol" w:hAnsi="Symbol" w:hint="default"/>
      </w:rPr>
    </w:lvl>
    <w:lvl w:ilvl="4" w:tplc="34090003" w:tentative="1">
      <w:start w:val="1"/>
      <w:numFmt w:val="bullet"/>
      <w:lvlText w:val="o"/>
      <w:lvlJc w:val="left"/>
      <w:pPr>
        <w:ind w:left="4320" w:hanging="360"/>
      </w:pPr>
      <w:rPr>
        <w:rFonts w:ascii="Courier New" w:hAnsi="Courier New" w:cs="Courier New" w:hint="default"/>
      </w:rPr>
    </w:lvl>
    <w:lvl w:ilvl="5" w:tplc="34090005" w:tentative="1">
      <w:start w:val="1"/>
      <w:numFmt w:val="bullet"/>
      <w:lvlText w:val=""/>
      <w:lvlJc w:val="left"/>
      <w:pPr>
        <w:ind w:left="5040" w:hanging="360"/>
      </w:pPr>
      <w:rPr>
        <w:rFonts w:ascii="Wingdings" w:hAnsi="Wingdings" w:hint="default"/>
      </w:rPr>
    </w:lvl>
    <w:lvl w:ilvl="6" w:tplc="34090001" w:tentative="1">
      <w:start w:val="1"/>
      <w:numFmt w:val="bullet"/>
      <w:lvlText w:val=""/>
      <w:lvlJc w:val="left"/>
      <w:pPr>
        <w:ind w:left="5760" w:hanging="360"/>
      </w:pPr>
      <w:rPr>
        <w:rFonts w:ascii="Symbol" w:hAnsi="Symbol" w:hint="default"/>
      </w:rPr>
    </w:lvl>
    <w:lvl w:ilvl="7" w:tplc="34090003" w:tentative="1">
      <w:start w:val="1"/>
      <w:numFmt w:val="bullet"/>
      <w:lvlText w:val="o"/>
      <w:lvlJc w:val="left"/>
      <w:pPr>
        <w:ind w:left="6480" w:hanging="360"/>
      </w:pPr>
      <w:rPr>
        <w:rFonts w:ascii="Courier New" w:hAnsi="Courier New" w:cs="Courier New" w:hint="default"/>
      </w:rPr>
    </w:lvl>
    <w:lvl w:ilvl="8" w:tplc="34090005" w:tentative="1">
      <w:start w:val="1"/>
      <w:numFmt w:val="bullet"/>
      <w:lvlText w:val=""/>
      <w:lvlJc w:val="left"/>
      <w:pPr>
        <w:ind w:left="7200" w:hanging="360"/>
      </w:pPr>
      <w:rPr>
        <w:rFonts w:ascii="Wingdings" w:hAnsi="Wingdings" w:hint="default"/>
      </w:rPr>
    </w:lvl>
  </w:abstractNum>
  <w:num w:numId="1">
    <w:abstractNumId w:val="16"/>
  </w:num>
  <w:num w:numId="2">
    <w:abstractNumId w:val="3"/>
  </w:num>
  <w:num w:numId="3">
    <w:abstractNumId w:val="6"/>
  </w:num>
  <w:num w:numId="4">
    <w:abstractNumId w:val="12"/>
  </w:num>
  <w:num w:numId="5">
    <w:abstractNumId w:val="1"/>
  </w:num>
  <w:num w:numId="6">
    <w:abstractNumId w:val="4"/>
  </w:num>
  <w:num w:numId="7">
    <w:abstractNumId w:val="0"/>
  </w:num>
  <w:num w:numId="8">
    <w:abstractNumId w:val="8"/>
  </w:num>
  <w:num w:numId="9">
    <w:abstractNumId w:val="13"/>
  </w:num>
  <w:num w:numId="10">
    <w:abstractNumId w:val="19"/>
  </w:num>
  <w:num w:numId="11">
    <w:abstractNumId w:val="10"/>
  </w:num>
  <w:num w:numId="12">
    <w:abstractNumId w:val="11"/>
  </w:num>
  <w:num w:numId="13">
    <w:abstractNumId w:val="9"/>
  </w:num>
  <w:num w:numId="14">
    <w:abstractNumId w:val="14"/>
  </w:num>
  <w:num w:numId="15">
    <w:abstractNumId w:val="5"/>
  </w:num>
  <w:num w:numId="16">
    <w:abstractNumId w:val="7"/>
  </w:num>
  <w:num w:numId="17">
    <w:abstractNumId w:val="15"/>
  </w:num>
  <w:num w:numId="18">
    <w:abstractNumId w:val="18"/>
  </w:num>
  <w:num w:numId="19">
    <w:abstractNumId w:val="17"/>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1" w:cryptProviderType="rsaAES" w:cryptAlgorithmClass="hash" w:cryptAlgorithmType="typeAny" w:cryptAlgorithmSid="14" w:cryptSpinCount="100000" w:hash="+Ph50DIbn36T+OKzLy3BZ1EUvT/bxZrmZemf0PZR8o7Ct01xzVVILK6k8zUa/Te0g0w7DGZNu2AGzpMWkuIMvg==" w:salt="PUtwDoQX/U6uVjqr34tRmw=="/>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4DB0"/>
    <w:rsid w:val="00003D5C"/>
    <w:rsid w:val="00006E6C"/>
    <w:rsid w:val="00010E8C"/>
    <w:rsid w:val="00011112"/>
    <w:rsid w:val="00011191"/>
    <w:rsid w:val="00011236"/>
    <w:rsid w:val="00012B72"/>
    <w:rsid w:val="00012F56"/>
    <w:rsid w:val="00012FAC"/>
    <w:rsid w:val="00013E19"/>
    <w:rsid w:val="000157D0"/>
    <w:rsid w:val="00016957"/>
    <w:rsid w:val="00017D0B"/>
    <w:rsid w:val="0002391A"/>
    <w:rsid w:val="000239FE"/>
    <w:rsid w:val="000264D0"/>
    <w:rsid w:val="00030BD9"/>
    <w:rsid w:val="0003249E"/>
    <w:rsid w:val="00035154"/>
    <w:rsid w:val="000360BC"/>
    <w:rsid w:val="00037518"/>
    <w:rsid w:val="0003778E"/>
    <w:rsid w:val="00041F3C"/>
    <w:rsid w:val="00042968"/>
    <w:rsid w:val="00043150"/>
    <w:rsid w:val="00043A14"/>
    <w:rsid w:val="00044E2B"/>
    <w:rsid w:val="0004538E"/>
    <w:rsid w:val="00045BD5"/>
    <w:rsid w:val="00050D2B"/>
    <w:rsid w:val="000518BB"/>
    <w:rsid w:val="00053953"/>
    <w:rsid w:val="0005483C"/>
    <w:rsid w:val="00054BCA"/>
    <w:rsid w:val="00055BDC"/>
    <w:rsid w:val="000619A5"/>
    <w:rsid w:val="000625E7"/>
    <w:rsid w:val="00064F2A"/>
    <w:rsid w:val="0006571C"/>
    <w:rsid w:val="0006721D"/>
    <w:rsid w:val="000674BE"/>
    <w:rsid w:val="00070CFC"/>
    <w:rsid w:val="000806CE"/>
    <w:rsid w:val="0008238C"/>
    <w:rsid w:val="000835DD"/>
    <w:rsid w:val="00084900"/>
    <w:rsid w:val="000854C7"/>
    <w:rsid w:val="00086522"/>
    <w:rsid w:val="0009173C"/>
    <w:rsid w:val="000924DC"/>
    <w:rsid w:val="00092E47"/>
    <w:rsid w:val="000A0464"/>
    <w:rsid w:val="000A29D1"/>
    <w:rsid w:val="000A3D36"/>
    <w:rsid w:val="000A412C"/>
    <w:rsid w:val="000A46F1"/>
    <w:rsid w:val="000A6321"/>
    <w:rsid w:val="000B0E85"/>
    <w:rsid w:val="000B2A68"/>
    <w:rsid w:val="000B44DE"/>
    <w:rsid w:val="000B5BB9"/>
    <w:rsid w:val="000B5E5E"/>
    <w:rsid w:val="000B6FBA"/>
    <w:rsid w:val="000C1B42"/>
    <w:rsid w:val="000C5270"/>
    <w:rsid w:val="000C7F4B"/>
    <w:rsid w:val="000D0175"/>
    <w:rsid w:val="000D023B"/>
    <w:rsid w:val="000D1065"/>
    <w:rsid w:val="000D1CFB"/>
    <w:rsid w:val="000D2635"/>
    <w:rsid w:val="000D633A"/>
    <w:rsid w:val="000D7777"/>
    <w:rsid w:val="000E0C83"/>
    <w:rsid w:val="000E121A"/>
    <w:rsid w:val="000E191A"/>
    <w:rsid w:val="000E345C"/>
    <w:rsid w:val="000E3698"/>
    <w:rsid w:val="000E6596"/>
    <w:rsid w:val="000E6718"/>
    <w:rsid w:val="000F0C23"/>
    <w:rsid w:val="000F1201"/>
    <w:rsid w:val="000F43FF"/>
    <w:rsid w:val="000F45BD"/>
    <w:rsid w:val="000F5A8C"/>
    <w:rsid w:val="000F63E4"/>
    <w:rsid w:val="00101E47"/>
    <w:rsid w:val="00102B59"/>
    <w:rsid w:val="00104EAE"/>
    <w:rsid w:val="00105524"/>
    <w:rsid w:val="0010584E"/>
    <w:rsid w:val="00105A6C"/>
    <w:rsid w:val="0010600C"/>
    <w:rsid w:val="00106174"/>
    <w:rsid w:val="001070D7"/>
    <w:rsid w:val="00107B26"/>
    <w:rsid w:val="00113EAF"/>
    <w:rsid w:val="001140A6"/>
    <w:rsid w:val="00116FD5"/>
    <w:rsid w:val="0012218B"/>
    <w:rsid w:val="00122920"/>
    <w:rsid w:val="00124F98"/>
    <w:rsid w:val="00127284"/>
    <w:rsid w:val="00127A68"/>
    <w:rsid w:val="00127C4A"/>
    <w:rsid w:val="001304F2"/>
    <w:rsid w:val="001315F4"/>
    <w:rsid w:val="0013265F"/>
    <w:rsid w:val="0013421E"/>
    <w:rsid w:val="0013494A"/>
    <w:rsid w:val="00134FA3"/>
    <w:rsid w:val="00135E38"/>
    <w:rsid w:val="0013720A"/>
    <w:rsid w:val="00137F2F"/>
    <w:rsid w:val="00141C08"/>
    <w:rsid w:val="00142DE3"/>
    <w:rsid w:val="0014376C"/>
    <w:rsid w:val="00144F5A"/>
    <w:rsid w:val="00145E09"/>
    <w:rsid w:val="0014754B"/>
    <w:rsid w:val="00147918"/>
    <w:rsid w:val="001500A4"/>
    <w:rsid w:val="00151C79"/>
    <w:rsid w:val="00153675"/>
    <w:rsid w:val="00155FD9"/>
    <w:rsid w:val="00157614"/>
    <w:rsid w:val="001610B7"/>
    <w:rsid w:val="0016268A"/>
    <w:rsid w:val="001637CF"/>
    <w:rsid w:val="00163FCC"/>
    <w:rsid w:val="00165508"/>
    <w:rsid w:val="00165D8F"/>
    <w:rsid w:val="00167522"/>
    <w:rsid w:val="00171874"/>
    <w:rsid w:val="00171AB0"/>
    <w:rsid w:val="00171B9F"/>
    <w:rsid w:val="00171C9A"/>
    <w:rsid w:val="00172F68"/>
    <w:rsid w:val="00174AE5"/>
    <w:rsid w:val="00185C90"/>
    <w:rsid w:val="00186720"/>
    <w:rsid w:val="00187823"/>
    <w:rsid w:val="001909C2"/>
    <w:rsid w:val="001920D8"/>
    <w:rsid w:val="00192547"/>
    <w:rsid w:val="0019270F"/>
    <w:rsid w:val="001929F3"/>
    <w:rsid w:val="00194254"/>
    <w:rsid w:val="00195A61"/>
    <w:rsid w:val="001A17AD"/>
    <w:rsid w:val="001A266D"/>
    <w:rsid w:val="001A4563"/>
    <w:rsid w:val="001A6161"/>
    <w:rsid w:val="001B374F"/>
    <w:rsid w:val="001B50C2"/>
    <w:rsid w:val="001B54F0"/>
    <w:rsid w:val="001B6A8B"/>
    <w:rsid w:val="001B6D66"/>
    <w:rsid w:val="001C2100"/>
    <w:rsid w:val="001C28FB"/>
    <w:rsid w:val="001C54E8"/>
    <w:rsid w:val="001C6579"/>
    <w:rsid w:val="001C6690"/>
    <w:rsid w:val="001D2434"/>
    <w:rsid w:val="001D2C52"/>
    <w:rsid w:val="001D2DEB"/>
    <w:rsid w:val="001D44D8"/>
    <w:rsid w:val="001D7BF6"/>
    <w:rsid w:val="001E21D2"/>
    <w:rsid w:val="001E51C1"/>
    <w:rsid w:val="001E6368"/>
    <w:rsid w:val="001E63F3"/>
    <w:rsid w:val="001F09D3"/>
    <w:rsid w:val="001F0A77"/>
    <w:rsid w:val="001F23EA"/>
    <w:rsid w:val="001F40F1"/>
    <w:rsid w:val="001F4370"/>
    <w:rsid w:val="001F634C"/>
    <w:rsid w:val="001F6AA8"/>
    <w:rsid w:val="002009E4"/>
    <w:rsid w:val="00200B15"/>
    <w:rsid w:val="0020380E"/>
    <w:rsid w:val="0020573C"/>
    <w:rsid w:val="00211F7A"/>
    <w:rsid w:val="002138F8"/>
    <w:rsid w:val="0021418C"/>
    <w:rsid w:val="00214658"/>
    <w:rsid w:val="0021476A"/>
    <w:rsid w:val="00214CA4"/>
    <w:rsid w:val="002153ED"/>
    <w:rsid w:val="00215DA2"/>
    <w:rsid w:val="00217128"/>
    <w:rsid w:val="00221206"/>
    <w:rsid w:val="0022171A"/>
    <w:rsid w:val="002229F7"/>
    <w:rsid w:val="00224609"/>
    <w:rsid w:val="00230210"/>
    <w:rsid w:val="00231AAF"/>
    <w:rsid w:val="00233565"/>
    <w:rsid w:val="002339CE"/>
    <w:rsid w:val="00234E56"/>
    <w:rsid w:val="002367EE"/>
    <w:rsid w:val="00237C4D"/>
    <w:rsid w:val="00242239"/>
    <w:rsid w:val="002430DE"/>
    <w:rsid w:val="002440F1"/>
    <w:rsid w:val="002444D3"/>
    <w:rsid w:val="002444F1"/>
    <w:rsid w:val="00244A34"/>
    <w:rsid w:val="00244D18"/>
    <w:rsid w:val="00246C8D"/>
    <w:rsid w:val="0024732C"/>
    <w:rsid w:val="00251816"/>
    <w:rsid w:val="002519C2"/>
    <w:rsid w:val="00255656"/>
    <w:rsid w:val="00255927"/>
    <w:rsid w:val="0026077B"/>
    <w:rsid w:val="00260CED"/>
    <w:rsid w:val="00262D51"/>
    <w:rsid w:val="002639F7"/>
    <w:rsid w:val="002663F9"/>
    <w:rsid w:val="002668AA"/>
    <w:rsid w:val="002711AD"/>
    <w:rsid w:val="00271347"/>
    <w:rsid w:val="00271736"/>
    <w:rsid w:val="00273177"/>
    <w:rsid w:val="00274F13"/>
    <w:rsid w:val="00275F62"/>
    <w:rsid w:val="002825D6"/>
    <w:rsid w:val="00282606"/>
    <w:rsid w:val="002827ED"/>
    <w:rsid w:val="00283E72"/>
    <w:rsid w:val="0028416A"/>
    <w:rsid w:val="00285948"/>
    <w:rsid w:val="00286347"/>
    <w:rsid w:val="00292121"/>
    <w:rsid w:val="00292E54"/>
    <w:rsid w:val="0029344A"/>
    <w:rsid w:val="0029462E"/>
    <w:rsid w:val="00296C86"/>
    <w:rsid w:val="002A1C54"/>
    <w:rsid w:val="002A29E7"/>
    <w:rsid w:val="002A34F9"/>
    <w:rsid w:val="002A5CB7"/>
    <w:rsid w:val="002A5D9E"/>
    <w:rsid w:val="002A6E69"/>
    <w:rsid w:val="002A71B6"/>
    <w:rsid w:val="002A71E8"/>
    <w:rsid w:val="002A7D07"/>
    <w:rsid w:val="002C0EEF"/>
    <w:rsid w:val="002D0C14"/>
    <w:rsid w:val="002D0E89"/>
    <w:rsid w:val="002D1E86"/>
    <w:rsid w:val="002D3AB5"/>
    <w:rsid w:val="002D4E77"/>
    <w:rsid w:val="002D5349"/>
    <w:rsid w:val="002D60C4"/>
    <w:rsid w:val="002D6795"/>
    <w:rsid w:val="002D6FFD"/>
    <w:rsid w:val="002D7847"/>
    <w:rsid w:val="002E04E3"/>
    <w:rsid w:val="002E150D"/>
    <w:rsid w:val="002E2468"/>
    <w:rsid w:val="002E42BD"/>
    <w:rsid w:val="002E4373"/>
    <w:rsid w:val="002E4E76"/>
    <w:rsid w:val="002E767B"/>
    <w:rsid w:val="002E7B64"/>
    <w:rsid w:val="002F1BDA"/>
    <w:rsid w:val="002F3151"/>
    <w:rsid w:val="002F6688"/>
    <w:rsid w:val="0030063D"/>
    <w:rsid w:val="003009E2"/>
    <w:rsid w:val="003064F8"/>
    <w:rsid w:val="003121B5"/>
    <w:rsid w:val="00314340"/>
    <w:rsid w:val="0031533E"/>
    <w:rsid w:val="003156BE"/>
    <w:rsid w:val="00316181"/>
    <w:rsid w:val="00322608"/>
    <w:rsid w:val="00322BF6"/>
    <w:rsid w:val="00322F15"/>
    <w:rsid w:val="00324C5E"/>
    <w:rsid w:val="00325254"/>
    <w:rsid w:val="0032600E"/>
    <w:rsid w:val="00326186"/>
    <w:rsid w:val="00330549"/>
    <w:rsid w:val="00333E77"/>
    <w:rsid w:val="003357B1"/>
    <w:rsid w:val="00336FA8"/>
    <w:rsid w:val="00337701"/>
    <w:rsid w:val="00343A4C"/>
    <w:rsid w:val="00344663"/>
    <w:rsid w:val="00347E9E"/>
    <w:rsid w:val="00347FFE"/>
    <w:rsid w:val="00351551"/>
    <w:rsid w:val="00355A66"/>
    <w:rsid w:val="00361FD9"/>
    <w:rsid w:val="00362433"/>
    <w:rsid w:val="0036328E"/>
    <w:rsid w:val="00366402"/>
    <w:rsid w:val="003705D4"/>
    <w:rsid w:val="00371606"/>
    <w:rsid w:val="00376A46"/>
    <w:rsid w:val="0037712E"/>
    <w:rsid w:val="0038450C"/>
    <w:rsid w:val="00384A9D"/>
    <w:rsid w:val="00385085"/>
    <w:rsid w:val="0038720E"/>
    <w:rsid w:val="00390C0F"/>
    <w:rsid w:val="003939D6"/>
    <w:rsid w:val="003941E0"/>
    <w:rsid w:val="003974DE"/>
    <w:rsid w:val="003978F7"/>
    <w:rsid w:val="003A4399"/>
    <w:rsid w:val="003A44C4"/>
    <w:rsid w:val="003A44DA"/>
    <w:rsid w:val="003A4AEE"/>
    <w:rsid w:val="003B0319"/>
    <w:rsid w:val="003B20AB"/>
    <w:rsid w:val="003B26E8"/>
    <w:rsid w:val="003B5B1D"/>
    <w:rsid w:val="003B6085"/>
    <w:rsid w:val="003B64FF"/>
    <w:rsid w:val="003C18D0"/>
    <w:rsid w:val="003C4E70"/>
    <w:rsid w:val="003D0D28"/>
    <w:rsid w:val="003D0ECA"/>
    <w:rsid w:val="003D506D"/>
    <w:rsid w:val="003D5279"/>
    <w:rsid w:val="003D59BC"/>
    <w:rsid w:val="003E2401"/>
    <w:rsid w:val="003E3D94"/>
    <w:rsid w:val="003E3E2B"/>
    <w:rsid w:val="003E41CB"/>
    <w:rsid w:val="003E4DB0"/>
    <w:rsid w:val="003E64C8"/>
    <w:rsid w:val="003F318B"/>
    <w:rsid w:val="003F3886"/>
    <w:rsid w:val="003F4FE2"/>
    <w:rsid w:val="003F74E8"/>
    <w:rsid w:val="003F7E15"/>
    <w:rsid w:val="00401AAD"/>
    <w:rsid w:val="00404230"/>
    <w:rsid w:val="004056F4"/>
    <w:rsid w:val="00410720"/>
    <w:rsid w:val="00411630"/>
    <w:rsid w:val="00412576"/>
    <w:rsid w:val="004160B3"/>
    <w:rsid w:val="0041694C"/>
    <w:rsid w:val="004173A8"/>
    <w:rsid w:val="0042048F"/>
    <w:rsid w:val="00421656"/>
    <w:rsid w:val="00422DB9"/>
    <w:rsid w:val="00423A20"/>
    <w:rsid w:val="00423DDC"/>
    <w:rsid w:val="00430FB7"/>
    <w:rsid w:val="00431131"/>
    <w:rsid w:val="00431F96"/>
    <w:rsid w:val="004334C8"/>
    <w:rsid w:val="00434D11"/>
    <w:rsid w:val="0044029F"/>
    <w:rsid w:val="004408CB"/>
    <w:rsid w:val="00444B30"/>
    <w:rsid w:val="004500E8"/>
    <w:rsid w:val="00450C30"/>
    <w:rsid w:val="00450F5C"/>
    <w:rsid w:val="00453C1B"/>
    <w:rsid w:val="00454756"/>
    <w:rsid w:val="00454FD6"/>
    <w:rsid w:val="0045688D"/>
    <w:rsid w:val="00457B03"/>
    <w:rsid w:val="004618C5"/>
    <w:rsid w:val="0046397B"/>
    <w:rsid w:val="004643A5"/>
    <w:rsid w:val="0046481F"/>
    <w:rsid w:val="00464A55"/>
    <w:rsid w:val="00465914"/>
    <w:rsid w:val="00465FA6"/>
    <w:rsid w:val="00466992"/>
    <w:rsid w:val="00470004"/>
    <w:rsid w:val="00471D60"/>
    <w:rsid w:val="00473676"/>
    <w:rsid w:val="00475025"/>
    <w:rsid w:val="0047625C"/>
    <w:rsid w:val="00476AFF"/>
    <w:rsid w:val="00476DC1"/>
    <w:rsid w:val="00477EC7"/>
    <w:rsid w:val="004801C6"/>
    <w:rsid w:val="00480E1B"/>
    <w:rsid w:val="00482F3C"/>
    <w:rsid w:val="004838D4"/>
    <w:rsid w:val="00483CF9"/>
    <w:rsid w:val="00484C40"/>
    <w:rsid w:val="00487B52"/>
    <w:rsid w:val="00490377"/>
    <w:rsid w:val="00490B75"/>
    <w:rsid w:val="00490BA9"/>
    <w:rsid w:val="00490FDB"/>
    <w:rsid w:val="00494950"/>
    <w:rsid w:val="00495D58"/>
    <w:rsid w:val="00496306"/>
    <w:rsid w:val="004A173A"/>
    <w:rsid w:val="004A3429"/>
    <w:rsid w:val="004A7C66"/>
    <w:rsid w:val="004B22A0"/>
    <w:rsid w:val="004C0239"/>
    <w:rsid w:val="004C1A09"/>
    <w:rsid w:val="004C5112"/>
    <w:rsid w:val="004C5450"/>
    <w:rsid w:val="004D05C6"/>
    <w:rsid w:val="004D1514"/>
    <w:rsid w:val="004D1ECF"/>
    <w:rsid w:val="004D1EE3"/>
    <w:rsid w:val="004D39D9"/>
    <w:rsid w:val="004D4F28"/>
    <w:rsid w:val="004D7586"/>
    <w:rsid w:val="004D76A8"/>
    <w:rsid w:val="004D7E18"/>
    <w:rsid w:val="004E0A6D"/>
    <w:rsid w:val="004E1FC5"/>
    <w:rsid w:val="004E22A4"/>
    <w:rsid w:val="004E2ACC"/>
    <w:rsid w:val="004E7EC8"/>
    <w:rsid w:val="004F0B4E"/>
    <w:rsid w:val="004F4743"/>
    <w:rsid w:val="004F539C"/>
    <w:rsid w:val="00501330"/>
    <w:rsid w:val="00501FBE"/>
    <w:rsid w:val="00502A95"/>
    <w:rsid w:val="00505053"/>
    <w:rsid w:val="00505091"/>
    <w:rsid w:val="00510F34"/>
    <w:rsid w:val="005118ED"/>
    <w:rsid w:val="00511D65"/>
    <w:rsid w:val="00512212"/>
    <w:rsid w:val="0051596C"/>
    <w:rsid w:val="00515DAB"/>
    <w:rsid w:val="00526D33"/>
    <w:rsid w:val="005275BD"/>
    <w:rsid w:val="005304C4"/>
    <w:rsid w:val="00531F2E"/>
    <w:rsid w:val="005339A3"/>
    <w:rsid w:val="005358C4"/>
    <w:rsid w:val="00536251"/>
    <w:rsid w:val="00536CA7"/>
    <w:rsid w:val="00536FFE"/>
    <w:rsid w:val="00544039"/>
    <w:rsid w:val="005451A7"/>
    <w:rsid w:val="0054772A"/>
    <w:rsid w:val="005506B7"/>
    <w:rsid w:val="00550EF4"/>
    <w:rsid w:val="00551C34"/>
    <w:rsid w:val="00553CFB"/>
    <w:rsid w:val="00555CB2"/>
    <w:rsid w:val="00557DE1"/>
    <w:rsid w:val="00565D38"/>
    <w:rsid w:val="0056613B"/>
    <w:rsid w:val="00573435"/>
    <w:rsid w:val="00580690"/>
    <w:rsid w:val="00583221"/>
    <w:rsid w:val="00584DA7"/>
    <w:rsid w:val="00584F72"/>
    <w:rsid w:val="00591E9E"/>
    <w:rsid w:val="00593EA5"/>
    <w:rsid w:val="005941D5"/>
    <w:rsid w:val="005A0314"/>
    <w:rsid w:val="005A27AD"/>
    <w:rsid w:val="005A28F8"/>
    <w:rsid w:val="005A2E98"/>
    <w:rsid w:val="005A3F26"/>
    <w:rsid w:val="005A4F6C"/>
    <w:rsid w:val="005A5EB5"/>
    <w:rsid w:val="005A61C3"/>
    <w:rsid w:val="005B113A"/>
    <w:rsid w:val="005B1AA7"/>
    <w:rsid w:val="005B2028"/>
    <w:rsid w:val="005B25C5"/>
    <w:rsid w:val="005B2FC4"/>
    <w:rsid w:val="005B37AF"/>
    <w:rsid w:val="005B4699"/>
    <w:rsid w:val="005B4764"/>
    <w:rsid w:val="005B5A7D"/>
    <w:rsid w:val="005B7ADE"/>
    <w:rsid w:val="005C1D7B"/>
    <w:rsid w:val="005C20D5"/>
    <w:rsid w:val="005C54FB"/>
    <w:rsid w:val="005C5696"/>
    <w:rsid w:val="005C586B"/>
    <w:rsid w:val="005C62B9"/>
    <w:rsid w:val="005C62BD"/>
    <w:rsid w:val="005C69A7"/>
    <w:rsid w:val="005D0714"/>
    <w:rsid w:val="005D13CA"/>
    <w:rsid w:val="005D2F08"/>
    <w:rsid w:val="005D3CFB"/>
    <w:rsid w:val="005D42E0"/>
    <w:rsid w:val="005D5064"/>
    <w:rsid w:val="005D5281"/>
    <w:rsid w:val="005D72D3"/>
    <w:rsid w:val="005E0ADE"/>
    <w:rsid w:val="005E24E9"/>
    <w:rsid w:val="005E4AE0"/>
    <w:rsid w:val="005E560B"/>
    <w:rsid w:val="005E6F8F"/>
    <w:rsid w:val="005F0B67"/>
    <w:rsid w:val="005F0E73"/>
    <w:rsid w:val="005F52A5"/>
    <w:rsid w:val="006048FC"/>
    <w:rsid w:val="00605396"/>
    <w:rsid w:val="00605733"/>
    <w:rsid w:val="006065BE"/>
    <w:rsid w:val="00607261"/>
    <w:rsid w:val="006103BC"/>
    <w:rsid w:val="00616143"/>
    <w:rsid w:val="006205EC"/>
    <w:rsid w:val="006208F4"/>
    <w:rsid w:val="00621C0E"/>
    <w:rsid w:val="00621E01"/>
    <w:rsid w:val="00624239"/>
    <w:rsid w:val="00624315"/>
    <w:rsid w:val="00625F29"/>
    <w:rsid w:val="00627888"/>
    <w:rsid w:val="00627E2D"/>
    <w:rsid w:val="00630361"/>
    <w:rsid w:val="00634670"/>
    <w:rsid w:val="00634DC0"/>
    <w:rsid w:val="00637396"/>
    <w:rsid w:val="006409C0"/>
    <w:rsid w:val="00642E2E"/>
    <w:rsid w:val="0064319A"/>
    <w:rsid w:val="00643724"/>
    <w:rsid w:val="00644B1F"/>
    <w:rsid w:val="006473DB"/>
    <w:rsid w:val="006511F6"/>
    <w:rsid w:val="0065369B"/>
    <w:rsid w:val="00653984"/>
    <w:rsid w:val="00656D75"/>
    <w:rsid w:val="006570EA"/>
    <w:rsid w:val="00657227"/>
    <w:rsid w:val="00660209"/>
    <w:rsid w:val="00661B73"/>
    <w:rsid w:val="006645D1"/>
    <w:rsid w:val="00671457"/>
    <w:rsid w:val="00671BE3"/>
    <w:rsid w:val="00671DDD"/>
    <w:rsid w:val="00674890"/>
    <w:rsid w:val="00674EF7"/>
    <w:rsid w:val="006752CD"/>
    <w:rsid w:val="00676195"/>
    <w:rsid w:val="00677CCB"/>
    <w:rsid w:val="006801C0"/>
    <w:rsid w:val="006808F0"/>
    <w:rsid w:val="0068270B"/>
    <w:rsid w:val="00683C74"/>
    <w:rsid w:val="00686091"/>
    <w:rsid w:val="006863DA"/>
    <w:rsid w:val="00687220"/>
    <w:rsid w:val="006877FD"/>
    <w:rsid w:val="006948AE"/>
    <w:rsid w:val="00694A8A"/>
    <w:rsid w:val="0069660C"/>
    <w:rsid w:val="0069664D"/>
    <w:rsid w:val="00697E54"/>
    <w:rsid w:val="006A1425"/>
    <w:rsid w:val="006A3108"/>
    <w:rsid w:val="006A4F84"/>
    <w:rsid w:val="006A5162"/>
    <w:rsid w:val="006B026A"/>
    <w:rsid w:val="006B03B7"/>
    <w:rsid w:val="006B27F8"/>
    <w:rsid w:val="006B5A2C"/>
    <w:rsid w:val="006B6E0C"/>
    <w:rsid w:val="006B6F15"/>
    <w:rsid w:val="006B7262"/>
    <w:rsid w:val="006C0CAA"/>
    <w:rsid w:val="006C2213"/>
    <w:rsid w:val="006C3BEE"/>
    <w:rsid w:val="006D19D5"/>
    <w:rsid w:val="006D330D"/>
    <w:rsid w:val="006E0DA1"/>
    <w:rsid w:val="006E2120"/>
    <w:rsid w:val="006E6580"/>
    <w:rsid w:val="006F053D"/>
    <w:rsid w:val="006F0D36"/>
    <w:rsid w:val="006F2735"/>
    <w:rsid w:val="006F3679"/>
    <w:rsid w:val="006F61D9"/>
    <w:rsid w:val="006F6901"/>
    <w:rsid w:val="006F72B7"/>
    <w:rsid w:val="006F7F88"/>
    <w:rsid w:val="007014F7"/>
    <w:rsid w:val="00701C55"/>
    <w:rsid w:val="00705A91"/>
    <w:rsid w:val="007077B4"/>
    <w:rsid w:val="007078AC"/>
    <w:rsid w:val="0071007E"/>
    <w:rsid w:val="0071016B"/>
    <w:rsid w:val="00712493"/>
    <w:rsid w:val="007156AC"/>
    <w:rsid w:val="00715DD2"/>
    <w:rsid w:val="00716525"/>
    <w:rsid w:val="00716931"/>
    <w:rsid w:val="007231B0"/>
    <w:rsid w:val="00723851"/>
    <w:rsid w:val="0072399C"/>
    <w:rsid w:val="00725BE2"/>
    <w:rsid w:val="00726953"/>
    <w:rsid w:val="007270B0"/>
    <w:rsid w:val="00730D16"/>
    <w:rsid w:val="00731B60"/>
    <w:rsid w:val="00733AF8"/>
    <w:rsid w:val="00735EFA"/>
    <w:rsid w:val="007362FB"/>
    <w:rsid w:val="00737400"/>
    <w:rsid w:val="00740762"/>
    <w:rsid w:val="0074162A"/>
    <w:rsid w:val="007419ED"/>
    <w:rsid w:val="00745B2E"/>
    <w:rsid w:val="00745DA7"/>
    <w:rsid w:val="00745EB3"/>
    <w:rsid w:val="00745FDE"/>
    <w:rsid w:val="007460CD"/>
    <w:rsid w:val="00747147"/>
    <w:rsid w:val="00752BCD"/>
    <w:rsid w:val="00753609"/>
    <w:rsid w:val="00755095"/>
    <w:rsid w:val="00755761"/>
    <w:rsid w:val="0075617F"/>
    <w:rsid w:val="00756DFF"/>
    <w:rsid w:val="00757363"/>
    <w:rsid w:val="00760B9C"/>
    <w:rsid w:val="0076180D"/>
    <w:rsid w:val="00761DAD"/>
    <w:rsid w:val="00764036"/>
    <w:rsid w:val="00764C05"/>
    <w:rsid w:val="007663F1"/>
    <w:rsid w:val="00767150"/>
    <w:rsid w:val="007725AA"/>
    <w:rsid w:val="00773747"/>
    <w:rsid w:val="00773FBF"/>
    <w:rsid w:val="00775026"/>
    <w:rsid w:val="007754D8"/>
    <w:rsid w:val="007756FF"/>
    <w:rsid w:val="007761CC"/>
    <w:rsid w:val="00776C55"/>
    <w:rsid w:val="00776E3D"/>
    <w:rsid w:val="0078096E"/>
    <w:rsid w:val="00780E04"/>
    <w:rsid w:val="007811AA"/>
    <w:rsid w:val="007825C7"/>
    <w:rsid w:val="007843CA"/>
    <w:rsid w:val="0078465E"/>
    <w:rsid w:val="007846EC"/>
    <w:rsid w:val="00784AA7"/>
    <w:rsid w:val="00784CD2"/>
    <w:rsid w:val="00786890"/>
    <w:rsid w:val="00786F69"/>
    <w:rsid w:val="007912C5"/>
    <w:rsid w:val="00792C8F"/>
    <w:rsid w:val="007931C2"/>
    <w:rsid w:val="007947C7"/>
    <w:rsid w:val="00795C51"/>
    <w:rsid w:val="00795E99"/>
    <w:rsid w:val="007A2ED7"/>
    <w:rsid w:val="007A3916"/>
    <w:rsid w:val="007A3D28"/>
    <w:rsid w:val="007A6101"/>
    <w:rsid w:val="007B057E"/>
    <w:rsid w:val="007B1172"/>
    <w:rsid w:val="007B1623"/>
    <w:rsid w:val="007B3DB3"/>
    <w:rsid w:val="007B512D"/>
    <w:rsid w:val="007B628D"/>
    <w:rsid w:val="007B68FF"/>
    <w:rsid w:val="007C0AB6"/>
    <w:rsid w:val="007D3C59"/>
    <w:rsid w:val="007D4C02"/>
    <w:rsid w:val="007D4C60"/>
    <w:rsid w:val="007D60FA"/>
    <w:rsid w:val="007E2BF6"/>
    <w:rsid w:val="007E3837"/>
    <w:rsid w:val="007E50B2"/>
    <w:rsid w:val="007F0415"/>
    <w:rsid w:val="007F18B5"/>
    <w:rsid w:val="007F7051"/>
    <w:rsid w:val="00800300"/>
    <w:rsid w:val="00800858"/>
    <w:rsid w:val="00802821"/>
    <w:rsid w:val="00804EB2"/>
    <w:rsid w:val="00806116"/>
    <w:rsid w:val="00806B70"/>
    <w:rsid w:val="008104A1"/>
    <w:rsid w:val="008119CF"/>
    <w:rsid w:val="00812B0E"/>
    <w:rsid w:val="00814ACE"/>
    <w:rsid w:val="00815065"/>
    <w:rsid w:val="0081651F"/>
    <w:rsid w:val="00816AA1"/>
    <w:rsid w:val="00816EA9"/>
    <w:rsid w:val="00820724"/>
    <w:rsid w:val="0082323F"/>
    <w:rsid w:val="008243D3"/>
    <w:rsid w:val="00824B42"/>
    <w:rsid w:val="008260CB"/>
    <w:rsid w:val="008302B6"/>
    <w:rsid w:val="00834020"/>
    <w:rsid w:val="00834F3D"/>
    <w:rsid w:val="00835DD2"/>
    <w:rsid w:val="00835FDB"/>
    <w:rsid w:val="00836CED"/>
    <w:rsid w:val="0083776C"/>
    <w:rsid w:val="00841043"/>
    <w:rsid w:val="00841552"/>
    <w:rsid w:val="00843211"/>
    <w:rsid w:val="008461FC"/>
    <w:rsid w:val="0085171F"/>
    <w:rsid w:val="00860333"/>
    <w:rsid w:val="008615E9"/>
    <w:rsid w:val="00862276"/>
    <w:rsid w:val="0086293A"/>
    <w:rsid w:val="00863CB7"/>
    <w:rsid w:val="00864B23"/>
    <w:rsid w:val="008673C7"/>
    <w:rsid w:val="0087002C"/>
    <w:rsid w:val="008725C5"/>
    <w:rsid w:val="008726CD"/>
    <w:rsid w:val="00872CCA"/>
    <w:rsid w:val="00874776"/>
    <w:rsid w:val="00874C68"/>
    <w:rsid w:val="008756E8"/>
    <w:rsid w:val="0088161B"/>
    <w:rsid w:val="00881E74"/>
    <w:rsid w:val="008825BC"/>
    <w:rsid w:val="00885C88"/>
    <w:rsid w:val="00886BF8"/>
    <w:rsid w:val="00887941"/>
    <w:rsid w:val="0089031B"/>
    <w:rsid w:val="00891E29"/>
    <w:rsid w:val="0089281A"/>
    <w:rsid w:val="00897A81"/>
    <w:rsid w:val="008A0087"/>
    <w:rsid w:val="008A103B"/>
    <w:rsid w:val="008A1C6E"/>
    <w:rsid w:val="008A2A13"/>
    <w:rsid w:val="008A6AB9"/>
    <w:rsid w:val="008B0709"/>
    <w:rsid w:val="008B0D8B"/>
    <w:rsid w:val="008B0DA0"/>
    <w:rsid w:val="008B5F3A"/>
    <w:rsid w:val="008B6A7C"/>
    <w:rsid w:val="008C04BD"/>
    <w:rsid w:val="008C1C64"/>
    <w:rsid w:val="008C3F2C"/>
    <w:rsid w:val="008C474E"/>
    <w:rsid w:val="008C5EE8"/>
    <w:rsid w:val="008C72B5"/>
    <w:rsid w:val="008D697C"/>
    <w:rsid w:val="008D6A91"/>
    <w:rsid w:val="008E06B1"/>
    <w:rsid w:val="008E2ABC"/>
    <w:rsid w:val="008E3854"/>
    <w:rsid w:val="008E3FAD"/>
    <w:rsid w:val="008E494E"/>
    <w:rsid w:val="008E5DC3"/>
    <w:rsid w:val="008E6142"/>
    <w:rsid w:val="008F0722"/>
    <w:rsid w:val="008F517D"/>
    <w:rsid w:val="008F6DB6"/>
    <w:rsid w:val="008F76F8"/>
    <w:rsid w:val="009017AF"/>
    <w:rsid w:val="0090399D"/>
    <w:rsid w:val="00915743"/>
    <w:rsid w:val="00916EF5"/>
    <w:rsid w:val="0091789A"/>
    <w:rsid w:val="00917FAC"/>
    <w:rsid w:val="00917FCA"/>
    <w:rsid w:val="009245A8"/>
    <w:rsid w:val="00925999"/>
    <w:rsid w:val="00925E83"/>
    <w:rsid w:val="00926733"/>
    <w:rsid w:val="00930EB7"/>
    <w:rsid w:val="009320A0"/>
    <w:rsid w:val="00932E8C"/>
    <w:rsid w:val="009342D9"/>
    <w:rsid w:val="009367A9"/>
    <w:rsid w:val="00937C78"/>
    <w:rsid w:val="00940833"/>
    <w:rsid w:val="00943920"/>
    <w:rsid w:val="009447D0"/>
    <w:rsid w:val="0094495A"/>
    <w:rsid w:val="009507F3"/>
    <w:rsid w:val="00950D60"/>
    <w:rsid w:val="009537E5"/>
    <w:rsid w:val="00955286"/>
    <w:rsid w:val="00957086"/>
    <w:rsid w:val="00960F7E"/>
    <w:rsid w:val="009617F9"/>
    <w:rsid w:val="0096429E"/>
    <w:rsid w:val="0096499F"/>
    <w:rsid w:val="009652FC"/>
    <w:rsid w:val="00965E1E"/>
    <w:rsid w:val="009669C6"/>
    <w:rsid w:val="00966E81"/>
    <w:rsid w:val="0097193F"/>
    <w:rsid w:val="00975CA1"/>
    <w:rsid w:val="00980DD6"/>
    <w:rsid w:val="00981414"/>
    <w:rsid w:val="00982EC2"/>
    <w:rsid w:val="0098320E"/>
    <w:rsid w:val="009840A6"/>
    <w:rsid w:val="00984533"/>
    <w:rsid w:val="00985836"/>
    <w:rsid w:val="00985D67"/>
    <w:rsid w:val="00990AD7"/>
    <w:rsid w:val="00990E82"/>
    <w:rsid w:val="00991002"/>
    <w:rsid w:val="009918D1"/>
    <w:rsid w:val="0099481C"/>
    <w:rsid w:val="0099663F"/>
    <w:rsid w:val="00997C7E"/>
    <w:rsid w:val="009A0F9C"/>
    <w:rsid w:val="009A2098"/>
    <w:rsid w:val="009A280F"/>
    <w:rsid w:val="009A788E"/>
    <w:rsid w:val="009B1A91"/>
    <w:rsid w:val="009B22C8"/>
    <w:rsid w:val="009B6738"/>
    <w:rsid w:val="009B7892"/>
    <w:rsid w:val="009C4220"/>
    <w:rsid w:val="009C6C2D"/>
    <w:rsid w:val="009D3AA4"/>
    <w:rsid w:val="009D3C88"/>
    <w:rsid w:val="009D6386"/>
    <w:rsid w:val="009E3D6D"/>
    <w:rsid w:val="009E42F0"/>
    <w:rsid w:val="009E7D04"/>
    <w:rsid w:val="009F0041"/>
    <w:rsid w:val="009F0EE4"/>
    <w:rsid w:val="009F2D5D"/>
    <w:rsid w:val="009F2E73"/>
    <w:rsid w:val="009F3B8F"/>
    <w:rsid w:val="009F4A15"/>
    <w:rsid w:val="009F4FDC"/>
    <w:rsid w:val="009F5948"/>
    <w:rsid w:val="009F7369"/>
    <w:rsid w:val="009F798B"/>
    <w:rsid w:val="00A004D1"/>
    <w:rsid w:val="00A010EE"/>
    <w:rsid w:val="00A01253"/>
    <w:rsid w:val="00A0246B"/>
    <w:rsid w:val="00A02688"/>
    <w:rsid w:val="00A03276"/>
    <w:rsid w:val="00A0599E"/>
    <w:rsid w:val="00A0681C"/>
    <w:rsid w:val="00A12897"/>
    <w:rsid w:val="00A201F0"/>
    <w:rsid w:val="00A217CC"/>
    <w:rsid w:val="00A21827"/>
    <w:rsid w:val="00A238AF"/>
    <w:rsid w:val="00A2634E"/>
    <w:rsid w:val="00A2734C"/>
    <w:rsid w:val="00A30640"/>
    <w:rsid w:val="00A345EB"/>
    <w:rsid w:val="00A3481F"/>
    <w:rsid w:val="00A3535D"/>
    <w:rsid w:val="00A35EE8"/>
    <w:rsid w:val="00A36B81"/>
    <w:rsid w:val="00A3789A"/>
    <w:rsid w:val="00A422DE"/>
    <w:rsid w:val="00A4243E"/>
    <w:rsid w:val="00A4261F"/>
    <w:rsid w:val="00A44D1C"/>
    <w:rsid w:val="00A4530A"/>
    <w:rsid w:val="00A46199"/>
    <w:rsid w:val="00A46F06"/>
    <w:rsid w:val="00A51093"/>
    <w:rsid w:val="00A53621"/>
    <w:rsid w:val="00A55FF8"/>
    <w:rsid w:val="00A610D5"/>
    <w:rsid w:val="00A64009"/>
    <w:rsid w:val="00A6416C"/>
    <w:rsid w:val="00A702B9"/>
    <w:rsid w:val="00A704BD"/>
    <w:rsid w:val="00A7178F"/>
    <w:rsid w:val="00A74362"/>
    <w:rsid w:val="00A76EC9"/>
    <w:rsid w:val="00A80456"/>
    <w:rsid w:val="00A814E2"/>
    <w:rsid w:val="00A8153E"/>
    <w:rsid w:val="00A825B4"/>
    <w:rsid w:val="00A83CE7"/>
    <w:rsid w:val="00A85686"/>
    <w:rsid w:val="00A85694"/>
    <w:rsid w:val="00A85B24"/>
    <w:rsid w:val="00A85E48"/>
    <w:rsid w:val="00A9110A"/>
    <w:rsid w:val="00A925C5"/>
    <w:rsid w:val="00A93631"/>
    <w:rsid w:val="00A9581C"/>
    <w:rsid w:val="00A96183"/>
    <w:rsid w:val="00AA0204"/>
    <w:rsid w:val="00AA2DB4"/>
    <w:rsid w:val="00AA3E85"/>
    <w:rsid w:val="00AA7423"/>
    <w:rsid w:val="00AB0114"/>
    <w:rsid w:val="00AB198E"/>
    <w:rsid w:val="00AB232B"/>
    <w:rsid w:val="00AB344A"/>
    <w:rsid w:val="00AB4208"/>
    <w:rsid w:val="00AB5F2E"/>
    <w:rsid w:val="00AB64E3"/>
    <w:rsid w:val="00AB655C"/>
    <w:rsid w:val="00AC1DA0"/>
    <w:rsid w:val="00AC249C"/>
    <w:rsid w:val="00AC3EDE"/>
    <w:rsid w:val="00AD1BA1"/>
    <w:rsid w:val="00AD452F"/>
    <w:rsid w:val="00AE377F"/>
    <w:rsid w:val="00AE788F"/>
    <w:rsid w:val="00AF13AC"/>
    <w:rsid w:val="00AF446A"/>
    <w:rsid w:val="00B02299"/>
    <w:rsid w:val="00B02BF5"/>
    <w:rsid w:val="00B038C1"/>
    <w:rsid w:val="00B03D20"/>
    <w:rsid w:val="00B074D9"/>
    <w:rsid w:val="00B07CD5"/>
    <w:rsid w:val="00B10E7A"/>
    <w:rsid w:val="00B1375E"/>
    <w:rsid w:val="00B20B05"/>
    <w:rsid w:val="00B20D91"/>
    <w:rsid w:val="00B20FFF"/>
    <w:rsid w:val="00B2151E"/>
    <w:rsid w:val="00B254D6"/>
    <w:rsid w:val="00B25A1A"/>
    <w:rsid w:val="00B25E88"/>
    <w:rsid w:val="00B267BD"/>
    <w:rsid w:val="00B26BB4"/>
    <w:rsid w:val="00B31E90"/>
    <w:rsid w:val="00B32AA6"/>
    <w:rsid w:val="00B35330"/>
    <w:rsid w:val="00B354CA"/>
    <w:rsid w:val="00B35ADA"/>
    <w:rsid w:val="00B362C8"/>
    <w:rsid w:val="00B42433"/>
    <w:rsid w:val="00B43765"/>
    <w:rsid w:val="00B43D93"/>
    <w:rsid w:val="00B44546"/>
    <w:rsid w:val="00B44FDA"/>
    <w:rsid w:val="00B45CBF"/>
    <w:rsid w:val="00B46B55"/>
    <w:rsid w:val="00B505DA"/>
    <w:rsid w:val="00B51B29"/>
    <w:rsid w:val="00B64A92"/>
    <w:rsid w:val="00B6544C"/>
    <w:rsid w:val="00B66EF4"/>
    <w:rsid w:val="00B7023E"/>
    <w:rsid w:val="00B70CA4"/>
    <w:rsid w:val="00B73FBD"/>
    <w:rsid w:val="00B74522"/>
    <w:rsid w:val="00B74622"/>
    <w:rsid w:val="00B768D1"/>
    <w:rsid w:val="00B7692A"/>
    <w:rsid w:val="00B803ED"/>
    <w:rsid w:val="00B807BC"/>
    <w:rsid w:val="00B80995"/>
    <w:rsid w:val="00B84C2F"/>
    <w:rsid w:val="00B878B0"/>
    <w:rsid w:val="00B90010"/>
    <w:rsid w:val="00B90467"/>
    <w:rsid w:val="00B90CFD"/>
    <w:rsid w:val="00B93A7F"/>
    <w:rsid w:val="00B96D0D"/>
    <w:rsid w:val="00B97C45"/>
    <w:rsid w:val="00BA00BA"/>
    <w:rsid w:val="00BA0613"/>
    <w:rsid w:val="00BA3E92"/>
    <w:rsid w:val="00BA6F52"/>
    <w:rsid w:val="00BA72BA"/>
    <w:rsid w:val="00BA7389"/>
    <w:rsid w:val="00BB1DA9"/>
    <w:rsid w:val="00BB514E"/>
    <w:rsid w:val="00BB62A4"/>
    <w:rsid w:val="00BC2B9C"/>
    <w:rsid w:val="00BC5EEE"/>
    <w:rsid w:val="00BC670A"/>
    <w:rsid w:val="00BC79FE"/>
    <w:rsid w:val="00BD1E41"/>
    <w:rsid w:val="00BD3CBC"/>
    <w:rsid w:val="00BD3D41"/>
    <w:rsid w:val="00BD63C8"/>
    <w:rsid w:val="00BE0883"/>
    <w:rsid w:val="00BE257E"/>
    <w:rsid w:val="00BE3197"/>
    <w:rsid w:val="00BE39F0"/>
    <w:rsid w:val="00BE46E3"/>
    <w:rsid w:val="00BE56E9"/>
    <w:rsid w:val="00BE6227"/>
    <w:rsid w:val="00BF1672"/>
    <w:rsid w:val="00BF1AC9"/>
    <w:rsid w:val="00BF1B4A"/>
    <w:rsid w:val="00BF35EA"/>
    <w:rsid w:val="00BF3B12"/>
    <w:rsid w:val="00BF3FC7"/>
    <w:rsid w:val="00BF5684"/>
    <w:rsid w:val="00BF5D9C"/>
    <w:rsid w:val="00BF6FC2"/>
    <w:rsid w:val="00C01763"/>
    <w:rsid w:val="00C03416"/>
    <w:rsid w:val="00C03602"/>
    <w:rsid w:val="00C03899"/>
    <w:rsid w:val="00C1009B"/>
    <w:rsid w:val="00C1397D"/>
    <w:rsid w:val="00C15994"/>
    <w:rsid w:val="00C16DB9"/>
    <w:rsid w:val="00C20317"/>
    <w:rsid w:val="00C21329"/>
    <w:rsid w:val="00C21425"/>
    <w:rsid w:val="00C217E4"/>
    <w:rsid w:val="00C22198"/>
    <w:rsid w:val="00C23856"/>
    <w:rsid w:val="00C23CF7"/>
    <w:rsid w:val="00C25D32"/>
    <w:rsid w:val="00C25D63"/>
    <w:rsid w:val="00C262E2"/>
    <w:rsid w:val="00C26730"/>
    <w:rsid w:val="00C279B3"/>
    <w:rsid w:val="00C35499"/>
    <w:rsid w:val="00C358FD"/>
    <w:rsid w:val="00C36252"/>
    <w:rsid w:val="00C36DC5"/>
    <w:rsid w:val="00C4172E"/>
    <w:rsid w:val="00C45C71"/>
    <w:rsid w:val="00C467F8"/>
    <w:rsid w:val="00C50551"/>
    <w:rsid w:val="00C51ABD"/>
    <w:rsid w:val="00C57D0C"/>
    <w:rsid w:val="00C6107C"/>
    <w:rsid w:val="00C66F23"/>
    <w:rsid w:val="00C672D5"/>
    <w:rsid w:val="00C67C52"/>
    <w:rsid w:val="00C711C6"/>
    <w:rsid w:val="00C71240"/>
    <w:rsid w:val="00C7124A"/>
    <w:rsid w:val="00C71E68"/>
    <w:rsid w:val="00C74210"/>
    <w:rsid w:val="00C74747"/>
    <w:rsid w:val="00C76322"/>
    <w:rsid w:val="00C820F4"/>
    <w:rsid w:val="00C83206"/>
    <w:rsid w:val="00C8415A"/>
    <w:rsid w:val="00C85064"/>
    <w:rsid w:val="00C85B77"/>
    <w:rsid w:val="00C86184"/>
    <w:rsid w:val="00C90DFE"/>
    <w:rsid w:val="00C90ED4"/>
    <w:rsid w:val="00C93AF9"/>
    <w:rsid w:val="00C94962"/>
    <w:rsid w:val="00CA06BF"/>
    <w:rsid w:val="00CA09F2"/>
    <w:rsid w:val="00CA5D82"/>
    <w:rsid w:val="00CB367B"/>
    <w:rsid w:val="00CB4D64"/>
    <w:rsid w:val="00CB5E48"/>
    <w:rsid w:val="00CB6353"/>
    <w:rsid w:val="00CC3A5C"/>
    <w:rsid w:val="00CC79AC"/>
    <w:rsid w:val="00CD02E0"/>
    <w:rsid w:val="00CD0870"/>
    <w:rsid w:val="00CD0C0F"/>
    <w:rsid w:val="00CD21B4"/>
    <w:rsid w:val="00CD43A2"/>
    <w:rsid w:val="00CD6D9C"/>
    <w:rsid w:val="00CE136A"/>
    <w:rsid w:val="00CE190E"/>
    <w:rsid w:val="00CE23A4"/>
    <w:rsid w:val="00CE2D36"/>
    <w:rsid w:val="00CE34E4"/>
    <w:rsid w:val="00CE3B91"/>
    <w:rsid w:val="00CE5B1F"/>
    <w:rsid w:val="00CE6A61"/>
    <w:rsid w:val="00CF30FB"/>
    <w:rsid w:val="00CF33BB"/>
    <w:rsid w:val="00CF4D17"/>
    <w:rsid w:val="00CF5E1D"/>
    <w:rsid w:val="00CF7669"/>
    <w:rsid w:val="00D01AA1"/>
    <w:rsid w:val="00D01AC8"/>
    <w:rsid w:val="00D01DB8"/>
    <w:rsid w:val="00D02098"/>
    <w:rsid w:val="00D0283E"/>
    <w:rsid w:val="00D0654B"/>
    <w:rsid w:val="00D10E07"/>
    <w:rsid w:val="00D14D21"/>
    <w:rsid w:val="00D17810"/>
    <w:rsid w:val="00D20377"/>
    <w:rsid w:val="00D212CE"/>
    <w:rsid w:val="00D21338"/>
    <w:rsid w:val="00D22EB1"/>
    <w:rsid w:val="00D238EF"/>
    <w:rsid w:val="00D31D1E"/>
    <w:rsid w:val="00D32BD1"/>
    <w:rsid w:val="00D335E8"/>
    <w:rsid w:val="00D33DCC"/>
    <w:rsid w:val="00D34940"/>
    <w:rsid w:val="00D363D3"/>
    <w:rsid w:val="00D37C37"/>
    <w:rsid w:val="00D40228"/>
    <w:rsid w:val="00D419C7"/>
    <w:rsid w:val="00D4235E"/>
    <w:rsid w:val="00D43421"/>
    <w:rsid w:val="00D47198"/>
    <w:rsid w:val="00D47726"/>
    <w:rsid w:val="00D47D1D"/>
    <w:rsid w:val="00D5142E"/>
    <w:rsid w:val="00D525BD"/>
    <w:rsid w:val="00D54D4D"/>
    <w:rsid w:val="00D55D15"/>
    <w:rsid w:val="00D576BD"/>
    <w:rsid w:val="00D6126F"/>
    <w:rsid w:val="00D62064"/>
    <w:rsid w:val="00D6437C"/>
    <w:rsid w:val="00D6455A"/>
    <w:rsid w:val="00D64872"/>
    <w:rsid w:val="00D648B6"/>
    <w:rsid w:val="00D66510"/>
    <w:rsid w:val="00D6655F"/>
    <w:rsid w:val="00D66D3A"/>
    <w:rsid w:val="00D6725C"/>
    <w:rsid w:val="00D7276F"/>
    <w:rsid w:val="00D74F58"/>
    <w:rsid w:val="00D769CA"/>
    <w:rsid w:val="00D76FA4"/>
    <w:rsid w:val="00D800FF"/>
    <w:rsid w:val="00D81CAE"/>
    <w:rsid w:val="00D824D1"/>
    <w:rsid w:val="00D837B2"/>
    <w:rsid w:val="00D852B9"/>
    <w:rsid w:val="00D85387"/>
    <w:rsid w:val="00D87425"/>
    <w:rsid w:val="00D87B8C"/>
    <w:rsid w:val="00D90761"/>
    <w:rsid w:val="00D91F49"/>
    <w:rsid w:val="00D9360D"/>
    <w:rsid w:val="00D96197"/>
    <w:rsid w:val="00DA1250"/>
    <w:rsid w:val="00DA28EB"/>
    <w:rsid w:val="00DA39D5"/>
    <w:rsid w:val="00DA55C2"/>
    <w:rsid w:val="00DA5F78"/>
    <w:rsid w:val="00DB1101"/>
    <w:rsid w:val="00DB117D"/>
    <w:rsid w:val="00DB23EC"/>
    <w:rsid w:val="00DB2746"/>
    <w:rsid w:val="00DB7DFB"/>
    <w:rsid w:val="00DC3099"/>
    <w:rsid w:val="00DC47B0"/>
    <w:rsid w:val="00DC62FD"/>
    <w:rsid w:val="00DC75E6"/>
    <w:rsid w:val="00DD172A"/>
    <w:rsid w:val="00DD2340"/>
    <w:rsid w:val="00DD6090"/>
    <w:rsid w:val="00DD7154"/>
    <w:rsid w:val="00DD770C"/>
    <w:rsid w:val="00DE0A96"/>
    <w:rsid w:val="00DE2B6D"/>
    <w:rsid w:val="00DE7178"/>
    <w:rsid w:val="00DF07AD"/>
    <w:rsid w:val="00DF67F9"/>
    <w:rsid w:val="00E0066E"/>
    <w:rsid w:val="00E0283E"/>
    <w:rsid w:val="00E04072"/>
    <w:rsid w:val="00E07371"/>
    <w:rsid w:val="00E075A5"/>
    <w:rsid w:val="00E100BA"/>
    <w:rsid w:val="00E111B5"/>
    <w:rsid w:val="00E21A60"/>
    <w:rsid w:val="00E22183"/>
    <w:rsid w:val="00E2380E"/>
    <w:rsid w:val="00E24561"/>
    <w:rsid w:val="00E24F22"/>
    <w:rsid w:val="00E266F0"/>
    <w:rsid w:val="00E27CFF"/>
    <w:rsid w:val="00E33F5E"/>
    <w:rsid w:val="00E34CD4"/>
    <w:rsid w:val="00E37843"/>
    <w:rsid w:val="00E44BC0"/>
    <w:rsid w:val="00E4549C"/>
    <w:rsid w:val="00E45CC1"/>
    <w:rsid w:val="00E4734E"/>
    <w:rsid w:val="00E50400"/>
    <w:rsid w:val="00E53060"/>
    <w:rsid w:val="00E55775"/>
    <w:rsid w:val="00E55CA8"/>
    <w:rsid w:val="00E56A7C"/>
    <w:rsid w:val="00E61D88"/>
    <w:rsid w:val="00E65A38"/>
    <w:rsid w:val="00E664B2"/>
    <w:rsid w:val="00E712AC"/>
    <w:rsid w:val="00E71D10"/>
    <w:rsid w:val="00E744C9"/>
    <w:rsid w:val="00E74B1F"/>
    <w:rsid w:val="00E755F6"/>
    <w:rsid w:val="00E814DC"/>
    <w:rsid w:val="00E834F7"/>
    <w:rsid w:val="00E865A4"/>
    <w:rsid w:val="00E86ABE"/>
    <w:rsid w:val="00E86BD0"/>
    <w:rsid w:val="00E872DC"/>
    <w:rsid w:val="00E90937"/>
    <w:rsid w:val="00E9290C"/>
    <w:rsid w:val="00E96775"/>
    <w:rsid w:val="00E9791A"/>
    <w:rsid w:val="00EA109C"/>
    <w:rsid w:val="00EA1A8F"/>
    <w:rsid w:val="00EA20ED"/>
    <w:rsid w:val="00EA5EEB"/>
    <w:rsid w:val="00EA7898"/>
    <w:rsid w:val="00EB0B11"/>
    <w:rsid w:val="00EB0EC6"/>
    <w:rsid w:val="00EB1B45"/>
    <w:rsid w:val="00EB2D57"/>
    <w:rsid w:val="00EB37CD"/>
    <w:rsid w:val="00EB47F0"/>
    <w:rsid w:val="00EC54A1"/>
    <w:rsid w:val="00EC5623"/>
    <w:rsid w:val="00EC5C86"/>
    <w:rsid w:val="00EC6F16"/>
    <w:rsid w:val="00EC79D6"/>
    <w:rsid w:val="00EC7CD4"/>
    <w:rsid w:val="00ED016C"/>
    <w:rsid w:val="00ED192B"/>
    <w:rsid w:val="00ED381F"/>
    <w:rsid w:val="00ED3FBD"/>
    <w:rsid w:val="00ED4187"/>
    <w:rsid w:val="00ED4772"/>
    <w:rsid w:val="00ED4D93"/>
    <w:rsid w:val="00ED5E12"/>
    <w:rsid w:val="00ED6962"/>
    <w:rsid w:val="00ED7D0F"/>
    <w:rsid w:val="00EE163C"/>
    <w:rsid w:val="00EE3C1A"/>
    <w:rsid w:val="00EE4B49"/>
    <w:rsid w:val="00EE6662"/>
    <w:rsid w:val="00EE6CFF"/>
    <w:rsid w:val="00EE7E0A"/>
    <w:rsid w:val="00EF1568"/>
    <w:rsid w:val="00EF23D7"/>
    <w:rsid w:val="00EF35F8"/>
    <w:rsid w:val="00EF520C"/>
    <w:rsid w:val="00EF6DC8"/>
    <w:rsid w:val="00F01FE1"/>
    <w:rsid w:val="00F04B85"/>
    <w:rsid w:val="00F0640C"/>
    <w:rsid w:val="00F0780D"/>
    <w:rsid w:val="00F105AE"/>
    <w:rsid w:val="00F10A05"/>
    <w:rsid w:val="00F125D3"/>
    <w:rsid w:val="00F13985"/>
    <w:rsid w:val="00F1556B"/>
    <w:rsid w:val="00F15B5A"/>
    <w:rsid w:val="00F17089"/>
    <w:rsid w:val="00F175B3"/>
    <w:rsid w:val="00F202EE"/>
    <w:rsid w:val="00F21342"/>
    <w:rsid w:val="00F21C4E"/>
    <w:rsid w:val="00F21ECB"/>
    <w:rsid w:val="00F22E52"/>
    <w:rsid w:val="00F2303F"/>
    <w:rsid w:val="00F2375C"/>
    <w:rsid w:val="00F238CD"/>
    <w:rsid w:val="00F23FA1"/>
    <w:rsid w:val="00F31B74"/>
    <w:rsid w:val="00F325BC"/>
    <w:rsid w:val="00F33B41"/>
    <w:rsid w:val="00F33BF8"/>
    <w:rsid w:val="00F349AC"/>
    <w:rsid w:val="00F40DE9"/>
    <w:rsid w:val="00F42DBE"/>
    <w:rsid w:val="00F430DD"/>
    <w:rsid w:val="00F4652F"/>
    <w:rsid w:val="00F468E7"/>
    <w:rsid w:val="00F53F7E"/>
    <w:rsid w:val="00F55B80"/>
    <w:rsid w:val="00F56E86"/>
    <w:rsid w:val="00F60B37"/>
    <w:rsid w:val="00F60DEC"/>
    <w:rsid w:val="00F619FF"/>
    <w:rsid w:val="00F62538"/>
    <w:rsid w:val="00F6520E"/>
    <w:rsid w:val="00F65B5E"/>
    <w:rsid w:val="00F6637E"/>
    <w:rsid w:val="00F663F5"/>
    <w:rsid w:val="00F67130"/>
    <w:rsid w:val="00F70988"/>
    <w:rsid w:val="00F71963"/>
    <w:rsid w:val="00F7393D"/>
    <w:rsid w:val="00F765EC"/>
    <w:rsid w:val="00F76B1E"/>
    <w:rsid w:val="00F81724"/>
    <w:rsid w:val="00F82D75"/>
    <w:rsid w:val="00F83943"/>
    <w:rsid w:val="00F878D5"/>
    <w:rsid w:val="00F87ED9"/>
    <w:rsid w:val="00F903BD"/>
    <w:rsid w:val="00F91619"/>
    <w:rsid w:val="00F918F2"/>
    <w:rsid w:val="00F95D93"/>
    <w:rsid w:val="00FA08D7"/>
    <w:rsid w:val="00FA14E0"/>
    <w:rsid w:val="00FA1EB7"/>
    <w:rsid w:val="00FA2253"/>
    <w:rsid w:val="00FA4A77"/>
    <w:rsid w:val="00FA4D6D"/>
    <w:rsid w:val="00FB2C8B"/>
    <w:rsid w:val="00FB2F2C"/>
    <w:rsid w:val="00FB4EAF"/>
    <w:rsid w:val="00FB5652"/>
    <w:rsid w:val="00FB761E"/>
    <w:rsid w:val="00FB7AC7"/>
    <w:rsid w:val="00FC0FAA"/>
    <w:rsid w:val="00FC1F8B"/>
    <w:rsid w:val="00FC3D57"/>
    <w:rsid w:val="00FC56A5"/>
    <w:rsid w:val="00FD157C"/>
    <w:rsid w:val="00FD29F2"/>
    <w:rsid w:val="00FD2C2F"/>
    <w:rsid w:val="00FD60E6"/>
    <w:rsid w:val="00FD6D48"/>
    <w:rsid w:val="00FE140C"/>
    <w:rsid w:val="00FE1F18"/>
    <w:rsid w:val="00FE2DFC"/>
    <w:rsid w:val="00FE4B92"/>
    <w:rsid w:val="00FE5E19"/>
    <w:rsid w:val="00FE676F"/>
    <w:rsid w:val="00FE76C8"/>
    <w:rsid w:val="00FF0476"/>
    <w:rsid w:val="00FF2938"/>
    <w:rsid w:val="00FF4A74"/>
    <w:rsid w:val="00FF4C9F"/>
    <w:rsid w:val="00FF676B"/>
    <w:rsid w:val="00FF7C3A"/>
  </w:rsids>
  <m:mathPr>
    <m:mathFont m:val="Cambria Math"/>
    <m:brkBin m:val="before"/>
    <m:brkBinSub m:val="--"/>
    <m:smallFrac/>
    <m:dispDef/>
    <m:lMargin m:val="0"/>
    <m:rMargin m:val="0"/>
    <m:defJc m:val="centerGroup"/>
    <m:wrapIndent m:val="1440"/>
    <m:intLim m:val="subSup"/>
    <m:naryLim m:val="undOvr"/>
  </m:mathPr>
  <w:themeFontLang w:val="en-P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D177A05-F693-438E-B761-0D768E6FE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theme="minorBidi"/>
        <w:sz w:val="24"/>
        <w:szCs w:val="22"/>
        <w:lang w:val="en-PH"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E4DB0"/>
    <w:rPr>
      <w:rFonts w:ascii="Times New Roman" w:eastAsia="Times New Roman" w:hAnsi="Times New Roman" w:cs="Times New Roman"/>
      <w:sz w:val="20"/>
      <w:szCs w:val="20"/>
      <w:lang w:val="en-US"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basedOn w:val="Normal"/>
    <w:link w:val="BodyTextIndentChar"/>
    <w:semiHidden/>
    <w:rsid w:val="003E4DB0"/>
    <w:pPr>
      <w:ind w:left="360" w:firstLine="360"/>
      <w:jc w:val="both"/>
    </w:pPr>
    <w:rPr>
      <w:sz w:val="24"/>
    </w:rPr>
  </w:style>
  <w:style w:type="character" w:customStyle="1" w:styleId="BodyTextIndentChar">
    <w:name w:val="Body Text Indent Char"/>
    <w:basedOn w:val="DefaultParagraphFont"/>
    <w:link w:val="BodyTextIndent"/>
    <w:semiHidden/>
    <w:rsid w:val="003E4DB0"/>
    <w:rPr>
      <w:rFonts w:ascii="Times New Roman" w:eastAsia="Times New Roman" w:hAnsi="Times New Roman" w:cs="Times New Roman"/>
      <w:szCs w:val="20"/>
      <w:lang w:val="en-US"/>
    </w:rPr>
  </w:style>
  <w:style w:type="character" w:styleId="Hyperlink">
    <w:name w:val="Hyperlink"/>
    <w:uiPriority w:val="99"/>
    <w:semiHidden/>
    <w:unhideWhenUsed/>
    <w:rsid w:val="003E4DB0"/>
    <w:rPr>
      <w:color w:val="0000FF"/>
      <w:u w:val="single"/>
    </w:rPr>
  </w:style>
  <w:style w:type="paragraph" w:styleId="ListParagraph">
    <w:name w:val="List Paragraph"/>
    <w:basedOn w:val="Normal"/>
    <w:uiPriority w:val="34"/>
    <w:qFormat/>
    <w:rsid w:val="003E4DB0"/>
    <w:pPr>
      <w:ind w:left="720"/>
    </w:pPr>
  </w:style>
  <w:style w:type="paragraph" w:styleId="Header">
    <w:name w:val="header"/>
    <w:basedOn w:val="Normal"/>
    <w:link w:val="HeaderChar"/>
    <w:uiPriority w:val="99"/>
    <w:unhideWhenUsed/>
    <w:rsid w:val="00B26BB4"/>
    <w:pPr>
      <w:tabs>
        <w:tab w:val="center" w:pos="4680"/>
        <w:tab w:val="right" w:pos="9360"/>
      </w:tabs>
    </w:pPr>
  </w:style>
  <w:style w:type="character" w:customStyle="1" w:styleId="HeaderChar">
    <w:name w:val="Header Char"/>
    <w:basedOn w:val="DefaultParagraphFont"/>
    <w:link w:val="Header"/>
    <w:uiPriority w:val="99"/>
    <w:rsid w:val="00B26BB4"/>
    <w:rPr>
      <w:rFonts w:ascii="Times New Roman" w:eastAsia="Times New Roman" w:hAnsi="Times New Roman" w:cs="Times New Roman"/>
      <w:sz w:val="20"/>
      <w:szCs w:val="20"/>
      <w:lang w:val="en-US" w:eastAsia="en-PH"/>
    </w:rPr>
  </w:style>
  <w:style w:type="paragraph" w:styleId="Footer">
    <w:name w:val="footer"/>
    <w:basedOn w:val="Normal"/>
    <w:link w:val="FooterChar"/>
    <w:uiPriority w:val="99"/>
    <w:unhideWhenUsed/>
    <w:rsid w:val="00B26BB4"/>
    <w:pPr>
      <w:tabs>
        <w:tab w:val="center" w:pos="4680"/>
        <w:tab w:val="right" w:pos="9360"/>
      </w:tabs>
    </w:pPr>
  </w:style>
  <w:style w:type="character" w:customStyle="1" w:styleId="FooterChar">
    <w:name w:val="Footer Char"/>
    <w:basedOn w:val="DefaultParagraphFont"/>
    <w:link w:val="Footer"/>
    <w:uiPriority w:val="99"/>
    <w:rsid w:val="00B26BB4"/>
    <w:rPr>
      <w:rFonts w:ascii="Times New Roman" w:eastAsia="Times New Roman" w:hAnsi="Times New Roman" w:cs="Times New Roman"/>
      <w:sz w:val="20"/>
      <w:szCs w:val="20"/>
      <w:lang w:val="en-US" w:eastAsia="en-PH"/>
    </w:rPr>
  </w:style>
  <w:style w:type="paragraph" w:styleId="BalloonText">
    <w:name w:val="Balloon Text"/>
    <w:basedOn w:val="Normal"/>
    <w:link w:val="BalloonTextChar"/>
    <w:uiPriority w:val="99"/>
    <w:semiHidden/>
    <w:unhideWhenUsed/>
    <w:rsid w:val="0010600C"/>
    <w:rPr>
      <w:rFonts w:ascii="Tahoma" w:hAnsi="Tahoma" w:cs="Tahoma"/>
      <w:sz w:val="16"/>
      <w:szCs w:val="16"/>
    </w:rPr>
  </w:style>
  <w:style w:type="character" w:customStyle="1" w:styleId="BalloonTextChar">
    <w:name w:val="Balloon Text Char"/>
    <w:basedOn w:val="DefaultParagraphFont"/>
    <w:link w:val="BalloonText"/>
    <w:uiPriority w:val="99"/>
    <w:semiHidden/>
    <w:rsid w:val="0010600C"/>
    <w:rPr>
      <w:rFonts w:ascii="Tahoma" w:eastAsia="Times New Roman" w:hAnsi="Tahoma" w:cs="Tahoma"/>
      <w:sz w:val="16"/>
      <w:szCs w:val="16"/>
      <w:lang w:val="en-US" w:eastAsia="en-PH"/>
    </w:rPr>
  </w:style>
  <w:style w:type="character" w:styleId="SubtleEmphasis">
    <w:name w:val="Subtle Emphasis"/>
    <w:basedOn w:val="DefaultParagraphFont"/>
    <w:uiPriority w:val="19"/>
    <w:qFormat/>
    <w:rsid w:val="007B68FF"/>
    <w:rPr>
      <w:i/>
      <w:iCs/>
      <w:color w:val="808080" w:themeColor="text1" w:themeTint="7F"/>
    </w:rPr>
  </w:style>
  <w:style w:type="paragraph" w:styleId="BodyText">
    <w:name w:val="Body Text"/>
    <w:basedOn w:val="Normal"/>
    <w:link w:val="BodyTextChar"/>
    <w:uiPriority w:val="99"/>
    <w:semiHidden/>
    <w:unhideWhenUsed/>
    <w:rsid w:val="00B20D91"/>
    <w:pPr>
      <w:spacing w:after="120"/>
    </w:pPr>
  </w:style>
  <w:style w:type="character" w:customStyle="1" w:styleId="BodyTextChar">
    <w:name w:val="Body Text Char"/>
    <w:basedOn w:val="DefaultParagraphFont"/>
    <w:link w:val="BodyText"/>
    <w:uiPriority w:val="99"/>
    <w:semiHidden/>
    <w:rsid w:val="00B20D91"/>
    <w:rPr>
      <w:rFonts w:ascii="Times New Roman" w:eastAsia="Times New Roman" w:hAnsi="Times New Roman" w:cs="Times New Roman"/>
      <w:sz w:val="20"/>
      <w:szCs w:val="20"/>
      <w:lang w:val="en-US" w:eastAsia="en-P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711727">
      <w:bodyDiv w:val="1"/>
      <w:marLeft w:val="0"/>
      <w:marRight w:val="0"/>
      <w:marTop w:val="0"/>
      <w:marBottom w:val="0"/>
      <w:divBdr>
        <w:top w:val="none" w:sz="0" w:space="0" w:color="auto"/>
        <w:left w:val="none" w:sz="0" w:space="0" w:color="auto"/>
        <w:bottom w:val="none" w:sz="0" w:space="0" w:color="auto"/>
        <w:right w:val="none" w:sz="0" w:space="0" w:color="auto"/>
      </w:divBdr>
    </w:div>
    <w:div w:id="44448121">
      <w:bodyDiv w:val="1"/>
      <w:marLeft w:val="0"/>
      <w:marRight w:val="0"/>
      <w:marTop w:val="0"/>
      <w:marBottom w:val="0"/>
      <w:divBdr>
        <w:top w:val="none" w:sz="0" w:space="0" w:color="auto"/>
        <w:left w:val="none" w:sz="0" w:space="0" w:color="auto"/>
        <w:bottom w:val="none" w:sz="0" w:space="0" w:color="auto"/>
        <w:right w:val="none" w:sz="0" w:space="0" w:color="auto"/>
      </w:divBdr>
    </w:div>
    <w:div w:id="54285581">
      <w:bodyDiv w:val="1"/>
      <w:marLeft w:val="0"/>
      <w:marRight w:val="0"/>
      <w:marTop w:val="0"/>
      <w:marBottom w:val="0"/>
      <w:divBdr>
        <w:top w:val="none" w:sz="0" w:space="0" w:color="auto"/>
        <w:left w:val="none" w:sz="0" w:space="0" w:color="auto"/>
        <w:bottom w:val="none" w:sz="0" w:space="0" w:color="auto"/>
        <w:right w:val="none" w:sz="0" w:space="0" w:color="auto"/>
      </w:divBdr>
    </w:div>
    <w:div w:id="78142285">
      <w:bodyDiv w:val="1"/>
      <w:marLeft w:val="0"/>
      <w:marRight w:val="0"/>
      <w:marTop w:val="0"/>
      <w:marBottom w:val="0"/>
      <w:divBdr>
        <w:top w:val="none" w:sz="0" w:space="0" w:color="auto"/>
        <w:left w:val="none" w:sz="0" w:space="0" w:color="auto"/>
        <w:bottom w:val="none" w:sz="0" w:space="0" w:color="auto"/>
        <w:right w:val="none" w:sz="0" w:space="0" w:color="auto"/>
      </w:divBdr>
    </w:div>
    <w:div w:id="80684140">
      <w:bodyDiv w:val="1"/>
      <w:marLeft w:val="0"/>
      <w:marRight w:val="0"/>
      <w:marTop w:val="0"/>
      <w:marBottom w:val="0"/>
      <w:divBdr>
        <w:top w:val="none" w:sz="0" w:space="0" w:color="auto"/>
        <w:left w:val="none" w:sz="0" w:space="0" w:color="auto"/>
        <w:bottom w:val="none" w:sz="0" w:space="0" w:color="auto"/>
        <w:right w:val="none" w:sz="0" w:space="0" w:color="auto"/>
      </w:divBdr>
    </w:div>
    <w:div w:id="100995942">
      <w:bodyDiv w:val="1"/>
      <w:marLeft w:val="0"/>
      <w:marRight w:val="0"/>
      <w:marTop w:val="0"/>
      <w:marBottom w:val="0"/>
      <w:divBdr>
        <w:top w:val="none" w:sz="0" w:space="0" w:color="auto"/>
        <w:left w:val="none" w:sz="0" w:space="0" w:color="auto"/>
        <w:bottom w:val="none" w:sz="0" w:space="0" w:color="auto"/>
        <w:right w:val="none" w:sz="0" w:space="0" w:color="auto"/>
      </w:divBdr>
    </w:div>
    <w:div w:id="103578399">
      <w:bodyDiv w:val="1"/>
      <w:marLeft w:val="0"/>
      <w:marRight w:val="0"/>
      <w:marTop w:val="0"/>
      <w:marBottom w:val="0"/>
      <w:divBdr>
        <w:top w:val="none" w:sz="0" w:space="0" w:color="auto"/>
        <w:left w:val="none" w:sz="0" w:space="0" w:color="auto"/>
        <w:bottom w:val="none" w:sz="0" w:space="0" w:color="auto"/>
        <w:right w:val="none" w:sz="0" w:space="0" w:color="auto"/>
      </w:divBdr>
    </w:div>
    <w:div w:id="104347598">
      <w:bodyDiv w:val="1"/>
      <w:marLeft w:val="0"/>
      <w:marRight w:val="0"/>
      <w:marTop w:val="0"/>
      <w:marBottom w:val="0"/>
      <w:divBdr>
        <w:top w:val="none" w:sz="0" w:space="0" w:color="auto"/>
        <w:left w:val="none" w:sz="0" w:space="0" w:color="auto"/>
        <w:bottom w:val="none" w:sz="0" w:space="0" w:color="auto"/>
        <w:right w:val="none" w:sz="0" w:space="0" w:color="auto"/>
      </w:divBdr>
    </w:div>
    <w:div w:id="126628702">
      <w:bodyDiv w:val="1"/>
      <w:marLeft w:val="0"/>
      <w:marRight w:val="0"/>
      <w:marTop w:val="0"/>
      <w:marBottom w:val="0"/>
      <w:divBdr>
        <w:top w:val="none" w:sz="0" w:space="0" w:color="auto"/>
        <w:left w:val="none" w:sz="0" w:space="0" w:color="auto"/>
        <w:bottom w:val="none" w:sz="0" w:space="0" w:color="auto"/>
        <w:right w:val="none" w:sz="0" w:space="0" w:color="auto"/>
      </w:divBdr>
    </w:div>
    <w:div w:id="131366438">
      <w:bodyDiv w:val="1"/>
      <w:marLeft w:val="0"/>
      <w:marRight w:val="0"/>
      <w:marTop w:val="0"/>
      <w:marBottom w:val="0"/>
      <w:divBdr>
        <w:top w:val="none" w:sz="0" w:space="0" w:color="auto"/>
        <w:left w:val="none" w:sz="0" w:space="0" w:color="auto"/>
        <w:bottom w:val="none" w:sz="0" w:space="0" w:color="auto"/>
        <w:right w:val="none" w:sz="0" w:space="0" w:color="auto"/>
      </w:divBdr>
    </w:div>
    <w:div w:id="135997848">
      <w:bodyDiv w:val="1"/>
      <w:marLeft w:val="0"/>
      <w:marRight w:val="0"/>
      <w:marTop w:val="0"/>
      <w:marBottom w:val="0"/>
      <w:divBdr>
        <w:top w:val="none" w:sz="0" w:space="0" w:color="auto"/>
        <w:left w:val="none" w:sz="0" w:space="0" w:color="auto"/>
        <w:bottom w:val="none" w:sz="0" w:space="0" w:color="auto"/>
        <w:right w:val="none" w:sz="0" w:space="0" w:color="auto"/>
      </w:divBdr>
    </w:div>
    <w:div w:id="136799632">
      <w:bodyDiv w:val="1"/>
      <w:marLeft w:val="0"/>
      <w:marRight w:val="0"/>
      <w:marTop w:val="0"/>
      <w:marBottom w:val="0"/>
      <w:divBdr>
        <w:top w:val="none" w:sz="0" w:space="0" w:color="auto"/>
        <w:left w:val="none" w:sz="0" w:space="0" w:color="auto"/>
        <w:bottom w:val="none" w:sz="0" w:space="0" w:color="auto"/>
        <w:right w:val="none" w:sz="0" w:space="0" w:color="auto"/>
      </w:divBdr>
    </w:div>
    <w:div w:id="144275920">
      <w:bodyDiv w:val="1"/>
      <w:marLeft w:val="0"/>
      <w:marRight w:val="0"/>
      <w:marTop w:val="0"/>
      <w:marBottom w:val="0"/>
      <w:divBdr>
        <w:top w:val="none" w:sz="0" w:space="0" w:color="auto"/>
        <w:left w:val="none" w:sz="0" w:space="0" w:color="auto"/>
        <w:bottom w:val="none" w:sz="0" w:space="0" w:color="auto"/>
        <w:right w:val="none" w:sz="0" w:space="0" w:color="auto"/>
      </w:divBdr>
    </w:div>
    <w:div w:id="145558300">
      <w:bodyDiv w:val="1"/>
      <w:marLeft w:val="0"/>
      <w:marRight w:val="0"/>
      <w:marTop w:val="0"/>
      <w:marBottom w:val="0"/>
      <w:divBdr>
        <w:top w:val="none" w:sz="0" w:space="0" w:color="auto"/>
        <w:left w:val="none" w:sz="0" w:space="0" w:color="auto"/>
        <w:bottom w:val="none" w:sz="0" w:space="0" w:color="auto"/>
        <w:right w:val="none" w:sz="0" w:space="0" w:color="auto"/>
      </w:divBdr>
    </w:div>
    <w:div w:id="146285158">
      <w:bodyDiv w:val="1"/>
      <w:marLeft w:val="0"/>
      <w:marRight w:val="0"/>
      <w:marTop w:val="0"/>
      <w:marBottom w:val="0"/>
      <w:divBdr>
        <w:top w:val="none" w:sz="0" w:space="0" w:color="auto"/>
        <w:left w:val="none" w:sz="0" w:space="0" w:color="auto"/>
        <w:bottom w:val="none" w:sz="0" w:space="0" w:color="auto"/>
        <w:right w:val="none" w:sz="0" w:space="0" w:color="auto"/>
      </w:divBdr>
    </w:div>
    <w:div w:id="162939975">
      <w:bodyDiv w:val="1"/>
      <w:marLeft w:val="0"/>
      <w:marRight w:val="0"/>
      <w:marTop w:val="0"/>
      <w:marBottom w:val="0"/>
      <w:divBdr>
        <w:top w:val="none" w:sz="0" w:space="0" w:color="auto"/>
        <w:left w:val="none" w:sz="0" w:space="0" w:color="auto"/>
        <w:bottom w:val="none" w:sz="0" w:space="0" w:color="auto"/>
        <w:right w:val="none" w:sz="0" w:space="0" w:color="auto"/>
      </w:divBdr>
    </w:div>
    <w:div w:id="163473669">
      <w:bodyDiv w:val="1"/>
      <w:marLeft w:val="0"/>
      <w:marRight w:val="0"/>
      <w:marTop w:val="0"/>
      <w:marBottom w:val="0"/>
      <w:divBdr>
        <w:top w:val="none" w:sz="0" w:space="0" w:color="auto"/>
        <w:left w:val="none" w:sz="0" w:space="0" w:color="auto"/>
        <w:bottom w:val="none" w:sz="0" w:space="0" w:color="auto"/>
        <w:right w:val="none" w:sz="0" w:space="0" w:color="auto"/>
      </w:divBdr>
    </w:div>
    <w:div w:id="163983234">
      <w:bodyDiv w:val="1"/>
      <w:marLeft w:val="0"/>
      <w:marRight w:val="0"/>
      <w:marTop w:val="0"/>
      <w:marBottom w:val="0"/>
      <w:divBdr>
        <w:top w:val="none" w:sz="0" w:space="0" w:color="auto"/>
        <w:left w:val="none" w:sz="0" w:space="0" w:color="auto"/>
        <w:bottom w:val="none" w:sz="0" w:space="0" w:color="auto"/>
        <w:right w:val="none" w:sz="0" w:space="0" w:color="auto"/>
      </w:divBdr>
    </w:div>
    <w:div w:id="173804201">
      <w:bodyDiv w:val="1"/>
      <w:marLeft w:val="0"/>
      <w:marRight w:val="0"/>
      <w:marTop w:val="0"/>
      <w:marBottom w:val="0"/>
      <w:divBdr>
        <w:top w:val="none" w:sz="0" w:space="0" w:color="auto"/>
        <w:left w:val="none" w:sz="0" w:space="0" w:color="auto"/>
        <w:bottom w:val="none" w:sz="0" w:space="0" w:color="auto"/>
        <w:right w:val="none" w:sz="0" w:space="0" w:color="auto"/>
      </w:divBdr>
    </w:div>
    <w:div w:id="199512910">
      <w:bodyDiv w:val="1"/>
      <w:marLeft w:val="0"/>
      <w:marRight w:val="0"/>
      <w:marTop w:val="0"/>
      <w:marBottom w:val="0"/>
      <w:divBdr>
        <w:top w:val="none" w:sz="0" w:space="0" w:color="auto"/>
        <w:left w:val="none" w:sz="0" w:space="0" w:color="auto"/>
        <w:bottom w:val="none" w:sz="0" w:space="0" w:color="auto"/>
        <w:right w:val="none" w:sz="0" w:space="0" w:color="auto"/>
      </w:divBdr>
    </w:div>
    <w:div w:id="256449792">
      <w:bodyDiv w:val="1"/>
      <w:marLeft w:val="0"/>
      <w:marRight w:val="0"/>
      <w:marTop w:val="0"/>
      <w:marBottom w:val="0"/>
      <w:divBdr>
        <w:top w:val="none" w:sz="0" w:space="0" w:color="auto"/>
        <w:left w:val="none" w:sz="0" w:space="0" w:color="auto"/>
        <w:bottom w:val="none" w:sz="0" w:space="0" w:color="auto"/>
        <w:right w:val="none" w:sz="0" w:space="0" w:color="auto"/>
      </w:divBdr>
    </w:div>
    <w:div w:id="269898191">
      <w:bodyDiv w:val="1"/>
      <w:marLeft w:val="0"/>
      <w:marRight w:val="0"/>
      <w:marTop w:val="0"/>
      <w:marBottom w:val="0"/>
      <w:divBdr>
        <w:top w:val="none" w:sz="0" w:space="0" w:color="auto"/>
        <w:left w:val="none" w:sz="0" w:space="0" w:color="auto"/>
        <w:bottom w:val="none" w:sz="0" w:space="0" w:color="auto"/>
        <w:right w:val="none" w:sz="0" w:space="0" w:color="auto"/>
      </w:divBdr>
    </w:div>
    <w:div w:id="273289145">
      <w:bodyDiv w:val="1"/>
      <w:marLeft w:val="0"/>
      <w:marRight w:val="0"/>
      <w:marTop w:val="0"/>
      <w:marBottom w:val="0"/>
      <w:divBdr>
        <w:top w:val="none" w:sz="0" w:space="0" w:color="auto"/>
        <w:left w:val="none" w:sz="0" w:space="0" w:color="auto"/>
        <w:bottom w:val="none" w:sz="0" w:space="0" w:color="auto"/>
        <w:right w:val="none" w:sz="0" w:space="0" w:color="auto"/>
      </w:divBdr>
    </w:div>
    <w:div w:id="289171292">
      <w:bodyDiv w:val="1"/>
      <w:marLeft w:val="0"/>
      <w:marRight w:val="0"/>
      <w:marTop w:val="0"/>
      <w:marBottom w:val="0"/>
      <w:divBdr>
        <w:top w:val="none" w:sz="0" w:space="0" w:color="auto"/>
        <w:left w:val="none" w:sz="0" w:space="0" w:color="auto"/>
        <w:bottom w:val="none" w:sz="0" w:space="0" w:color="auto"/>
        <w:right w:val="none" w:sz="0" w:space="0" w:color="auto"/>
      </w:divBdr>
    </w:div>
    <w:div w:id="298153121">
      <w:bodyDiv w:val="1"/>
      <w:marLeft w:val="0"/>
      <w:marRight w:val="0"/>
      <w:marTop w:val="0"/>
      <w:marBottom w:val="0"/>
      <w:divBdr>
        <w:top w:val="none" w:sz="0" w:space="0" w:color="auto"/>
        <w:left w:val="none" w:sz="0" w:space="0" w:color="auto"/>
        <w:bottom w:val="none" w:sz="0" w:space="0" w:color="auto"/>
        <w:right w:val="none" w:sz="0" w:space="0" w:color="auto"/>
      </w:divBdr>
    </w:div>
    <w:div w:id="301082376">
      <w:bodyDiv w:val="1"/>
      <w:marLeft w:val="0"/>
      <w:marRight w:val="0"/>
      <w:marTop w:val="0"/>
      <w:marBottom w:val="0"/>
      <w:divBdr>
        <w:top w:val="none" w:sz="0" w:space="0" w:color="auto"/>
        <w:left w:val="none" w:sz="0" w:space="0" w:color="auto"/>
        <w:bottom w:val="none" w:sz="0" w:space="0" w:color="auto"/>
        <w:right w:val="none" w:sz="0" w:space="0" w:color="auto"/>
      </w:divBdr>
    </w:div>
    <w:div w:id="323944527">
      <w:bodyDiv w:val="1"/>
      <w:marLeft w:val="0"/>
      <w:marRight w:val="0"/>
      <w:marTop w:val="0"/>
      <w:marBottom w:val="0"/>
      <w:divBdr>
        <w:top w:val="none" w:sz="0" w:space="0" w:color="auto"/>
        <w:left w:val="none" w:sz="0" w:space="0" w:color="auto"/>
        <w:bottom w:val="none" w:sz="0" w:space="0" w:color="auto"/>
        <w:right w:val="none" w:sz="0" w:space="0" w:color="auto"/>
      </w:divBdr>
    </w:div>
    <w:div w:id="329918075">
      <w:bodyDiv w:val="1"/>
      <w:marLeft w:val="0"/>
      <w:marRight w:val="0"/>
      <w:marTop w:val="0"/>
      <w:marBottom w:val="0"/>
      <w:divBdr>
        <w:top w:val="none" w:sz="0" w:space="0" w:color="auto"/>
        <w:left w:val="none" w:sz="0" w:space="0" w:color="auto"/>
        <w:bottom w:val="none" w:sz="0" w:space="0" w:color="auto"/>
        <w:right w:val="none" w:sz="0" w:space="0" w:color="auto"/>
      </w:divBdr>
    </w:div>
    <w:div w:id="341398575">
      <w:bodyDiv w:val="1"/>
      <w:marLeft w:val="0"/>
      <w:marRight w:val="0"/>
      <w:marTop w:val="0"/>
      <w:marBottom w:val="0"/>
      <w:divBdr>
        <w:top w:val="none" w:sz="0" w:space="0" w:color="auto"/>
        <w:left w:val="none" w:sz="0" w:space="0" w:color="auto"/>
        <w:bottom w:val="none" w:sz="0" w:space="0" w:color="auto"/>
        <w:right w:val="none" w:sz="0" w:space="0" w:color="auto"/>
      </w:divBdr>
    </w:div>
    <w:div w:id="353924711">
      <w:bodyDiv w:val="1"/>
      <w:marLeft w:val="0"/>
      <w:marRight w:val="0"/>
      <w:marTop w:val="0"/>
      <w:marBottom w:val="0"/>
      <w:divBdr>
        <w:top w:val="none" w:sz="0" w:space="0" w:color="auto"/>
        <w:left w:val="none" w:sz="0" w:space="0" w:color="auto"/>
        <w:bottom w:val="none" w:sz="0" w:space="0" w:color="auto"/>
        <w:right w:val="none" w:sz="0" w:space="0" w:color="auto"/>
      </w:divBdr>
    </w:div>
    <w:div w:id="355616490">
      <w:bodyDiv w:val="1"/>
      <w:marLeft w:val="0"/>
      <w:marRight w:val="0"/>
      <w:marTop w:val="0"/>
      <w:marBottom w:val="0"/>
      <w:divBdr>
        <w:top w:val="none" w:sz="0" w:space="0" w:color="auto"/>
        <w:left w:val="none" w:sz="0" w:space="0" w:color="auto"/>
        <w:bottom w:val="none" w:sz="0" w:space="0" w:color="auto"/>
        <w:right w:val="none" w:sz="0" w:space="0" w:color="auto"/>
      </w:divBdr>
    </w:div>
    <w:div w:id="355808954">
      <w:bodyDiv w:val="1"/>
      <w:marLeft w:val="0"/>
      <w:marRight w:val="0"/>
      <w:marTop w:val="0"/>
      <w:marBottom w:val="0"/>
      <w:divBdr>
        <w:top w:val="none" w:sz="0" w:space="0" w:color="auto"/>
        <w:left w:val="none" w:sz="0" w:space="0" w:color="auto"/>
        <w:bottom w:val="none" w:sz="0" w:space="0" w:color="auto"/>
        <w:right w:val="none" w:sz="0" w:space="0" w:color="auto"/>
      </w:divBdr>
    </w:div>
    <w:div w:id="366950939">
      <w:bodyDiv w:val="1"/>
      <w:marLeft w:val="0"/>
      <w:marRight w:val="0"/>
      <w:marTop w:val="0"/>
      <w:marBottom w:val="0"/>
      <w:divBdr>
        <w:top w:val="none" w:sz="0" w:space="0" w:color="auto"/>
        <w:left w:val="none" w:sz="0" w:space="0" w:color="auto"/>
        <w:bottom w:val="none" w:sz="0" w:space="0" w:color="auto"/>
        <w:right w:val="none" w:sz="0" w:space="0" w:color="auto"/>
      </w:divBdr>
    </w:div>
    <w:div w:id="383066331">
      <w:bodyDiv w:val="1"/>
      <w:marLeft w:val="0"/>
      <w:marRight w:val="0"/>
      <w:marTop w:val="0"/>
      <w:marBottom w:val="0"/>
      <w:divBdr>
        <w:top w:val="none" w:sz="0" w:space="0" w:color="auto"/>
        <w:left w:val="none" w:sz="0" w:space="0" w:color="auto"/>
        <w:bottom w:val="none" w:sz="0" w:space="0" w:color="auto"/>
        <w:right w:val="none" w:sz="0" w:space="0" w:color="auto"/>
      </w:divBdr>
    </w:div>
    <w:div w:id="393622726">
      <w:bodyDiv w:val="1"/>
      <w:marLeft w:val="0"/>
      <w:marRight w:val="0"/>
      <w:marTop w:val="0"/>
      <w:marBottom w:val="0"/>
      <w:divBdr>
        <w:top w:val="none" w:sz="0" w:space="0" w:color="auto"/>
        <w:left w:val="none" w:sz="0" w:space="0" w:color="auto"/>
        <w:bottom w:val="none" w:sz="0" w:space="0" w:color="auto"/>
        <w:right w:val="none" w:sz="0" w:space="0" w:color="auto"/>
      </w:divBdr>
    </w:div>
    <w:div w:id="395784781">
      <w:bodyDiv w:val="1"/>
      <w:marLeft w:val="0"/>
      <w:marRight w:val="0"/>
      <w:marTop w:val="0"/>
      <w:marBottom w:val="0"/>
      <w:divBdr>
        <w:top w:val="none" w:sz="0" w:space="0" w:color="auto"/>
        <w:left w:val="none" w:sz="0" w:space="0" w:color="auto"/>
        <w:bottom w:val="none" w:sz="0" w:space="0" w:color="auto"/>
        <w:right w:val="none" w:sz="0" w:space="0" w:color="auto"/>
      </w:divBdr>
    </w:div>
    <w:div w:id="414858908">
      <w:bodyDiv w:val="1"/>
      <w:marLeft w:val="0"/>
      <w:marRight w:val="0"/>
      <w:marTop w:val="0"/>
      <w:marBottom w:val="0"/>
      <w:divBdr>
        <w:top w:val="none" w:sz="0" w:space="0" w:color="auto"/>
        <w:left w:val="none" w:sz="0" w:space="0" w:color="auto"/>
        <w:bottom w:val="none" w:sz="0" w:space="0" w:color="auto"/>
        <w:right w:val="none" w:sz="0" w:space="0" w:color="auto"/>
      </w:divBdr>
    </w:div>
    <w:div w:id="416749284">
      <w:bodyDiv w:val="1"/>
      <w:marLeft w:val="0"/>
      <w:marRight w:val="0"/>
      <w:marTop w:val="0"/>
      <w:marBottom w:val="0"/>
      <w:divBdr>
        <w:top w:val="none" w:sz="0" w:space="0" w:color="auto"/>
        <w:left w:val="none" w:sz="0" w:space="0" w:color="auto"/>
        <w:bottom w:val="none" w:sz="0" w:space="0" w:color="auto"/>
        <w:right w:val="none" w:sz="0" w:space="0" w:color="auto"/>
      </w:divBdr>
    </w:div>
    <w:div w:id="436020290">
      <w:bodyDiv w:val="1"/>
      <w:marLeft w:val="0"/>
      <w:marRight w:val="0"/>
      <w:marTop w:val="0"/>
      <w:marBottom w:val="0"/>
      <w:divBdr>
        <w:top w:val="none" w:sz="0" w:space="0" w:color="auto"/>
        <w:left w:val="none" w:sz="0" w:space="0" w:color="auto"/>
        <w:bottom w:val="none" w:sz="0" w:space="0" w:color="auto"/>
        <w:right w:val="none" w:sz="0" w:space="0" w:color="auto"/>
      </w:divBdr>
    </w:div>
    <w:div w:id="443496685">
      <w:bodyDiv w:val="1"/>
      <w:marLeft w:val="0"/>
      <w:marRight w:val="0"/>
      <w:marTop w:val="0"/>
      <w:marBottom w:val="0"/>
      <w:divBdr>
        <w:top w:val="none" w:sz="0" w:space="0" w:color="auto"/>
        <w:left w:val="none" w:sz="0" w:space="0" w:color="auto"/>
        <w:bottom w:val="none" w:sz="0" w:space="0" w:color="auto"/>
        <w:right w:val="none" w:sz="0" w:space="0" w:color="auto"/>
      </w:divBdr>
    </w:div>
    <w:div w:id="445537599">
      <w:bodyDiv w:val="1"/>
      <w:marLeft w:val="0"/>
      <w:marRight w:val="0"/>
      <w:marTop w:val="0"/>
      <w:marBottom w:val="0"/>
      <w:divBdr>
        <w:top w:val="none" w:sz="0" w:space="0" w:color="auto"/>
        <w:left w:val="none" w:sz="0" w:space="0" w:color="auto"/>
        <w:bottom w:val="none" w:sz="0" w:space="0" w:color="auto"/>
        <w:right w:val="none" w:sz="0" w:space="0" w:color="auto"/>
      </w:divBdr>
    </w:div>
    <w:div w:id="451094916">
      <w:bodyDiv w:val="1"/>
      <w:marLeft w:val="0"/>
      <w:marRight w:val="0"/>
      <w:marTop w:val="0"/>
      <w:marBottom w:val="0"/>
      <w:divBdr>
        <w:top w:val="none" w:sz="0" w:space="0" w:color="auto"/>
        <w:left w:val="none" w:sz="0" w:space="0" w:color="auto"/>
        <w:bottom w:val="none" w:sz="0" w:space="0" w:color="auto"/>
        <w:right w:val="none" w:sz="0" w:space="0" w:color="auto"/>
      </w:divBdr>
    </w:div>
    <w:div w:id="479349659">
      <w:bodyDiv w:val="1"/>
      <w:marLeft w:val="0"/>
      <w:marRight w:val="0"/>
      <w:marTop w:val="0"/>
      <w:marBottom w:val="0"/>
      <w:divBdr>
        <w:top w:val="none" w:sz="0" w:space="0" w:color="auto"/>
        <w:left w:val="none" w:sz="0" w:space="0" w:color="auto"/>
        <w:bottom w:val="none" w:sz="0" w:space="0" w:color="auto"/>
        <w:right w:val="none" w:sz="0" w:space="0" w:color="auto"/>
      </w:divBdr>
    </w:div>
    <w:div w:id="480195354">
      <w:bodyDiv w:val="1"/>
      <w:marLeft w:val="0"/>
      <w:marRight w:val="0"/>
      <w:marTop w:val="0"/>
      <w:marBottom w:val="0"/>
      <w:divBdr>
        <w:top w:val="none" w:sz="0" w:space="0" w:color="auto"/>
        <w:left w:val="none" w:sz="0" w:space="0" w:color="auto"/>
        <w:bottom w:val="none" w:sz="0" w:space="0" w:color="auto"/>
        <w:right w:val="none" w:sz="0" w:space="0" w:color="auto"/>
      </w:divBdr>
    </w:div>
    <w:div w:id="493644930">
      <w:bodyDiv w:val="1"/>
      <w:marLeft w:val="0"/>
      <w:marRight w:val="0"/>
      <w:marTop w:val="0"/>
      <w:marBottom w:val="0"/>
      <w:divBdr>
        <w:top w:val="none" w:sz="0" w:space="0" w:color="auto"/>
        <w:left w:val="none" w:sz="0" w:space="0" w:color="auto"/>
        <w:bottom w:val="none" w:sz="0" w:space="0" w:color="auto"/>
        <w:right w:val="none" w:sz="0" w:space="0" w:color="auto"/>
      </w:divBdr>
    </w:div>
    <w:div w:id="494421054">
      <w:bodyDiv w:val="1"/>
      <w:marLeft w:val="0"/>
      <w:marRight w:val="0"/>
      <w:marTop w:val="0"/>
      <w:marBottom w:val="0"/>
      <w:divBdr>
        <w:top w:val="none" w:sz="0" w:space="0" w:color="auto"/>
        <w:left w:val="none" w:sz="0" w:space="0" w:color="auto"/>
        <w:bottom w:val="none" w:sz="0" w:space="0" w:color="auto"/>
        <w:right w:val="none" w:sz="0" w:space="0" w:color="auto"/>
      </w:divBdr>
    </w:div>
    <w:div w:id="494566183">
      <w:bodyDiv w:val="1"/>
      <w:marLeft w:val="0"/>
      <w:marRight w:val="0"/>
      <w:marTop w:val="0"/>
      <w:marBottom w:val="0"/>
      <w:divBdr>
        <w:top w:val="none" w:sz="0" w:space="0" w:color="auto"/>
        <w:left w:val="none" w:sz="0" w:space="0" w:color="auto"/>
        <w:bottom w:val="none" w:sz="0" w:space="0" w:color="auto"/>
        <w:right w:val="none" w:sz="0" w:space="0" w:color="auto"/>
      </w:divBdr>
    </w:div>
    <w:div w:id="504634773">
      <w:bodyDiv w:val="1"/>
      <w:marLeft w:val="0"/>
      <w:marRight w:val="0"/>
      <w:marTop w:val="0"/>
      <w:marBottom w:val="0"/>
      <w:divBdr>
        <w:top w:val="none" w:sz="0" w:space="0" w:color="auto"/>
        <w:left w:val="none" w:sz="0" w:space="0" w:color="auto"/>
        <w:bottom w:val="none" w:sz="0" w:space="0" w:color="auto"/>
        <w:right w:val="none" w:sz="0" w:space="0" w:color="auto"/>
      </w:divBdr>
    </w:div>
    <w:div w:id="516113732">
      <w:bodyDiv w:val="1"/>
      <w:marLeft w:val="0"/>
      <w:marRight w:val="0"/>
      <w:marTop w:val="0"/>
      <w:marBottom w:val="0"/>
      <w:divBdr>
        <w:top w:val="none" w:sz="0" w:space="0" w:color="auto"/>
        <w:left w:val="none" w:sz="0" w:space="0" w:color="auto"/>
        <w:bottom w:val="none" w:sz="0" w:space="0" w:color="auto"/>
        <w:right w:val="none" w:sz="0" w:space="0" w:color="auto"/>
      </w:divBdr>
    </w:div>
    <w:div w:id="516164427">
      <w:bodyDiv w:val="1"/>
      <w:marLeft w:val="0"/>
      <w:marRight w:val="0"/>
      <w:marTop w:val="0"/>
      <w:marBottom w:val="0"/>
      <w:divBdr>
        <w:top w:val="none" w:sz="0" w:space="0" w:color="auto"/>
        <w:left w:val="none" w:sz="0" w:space="0" w:color="auto"/>
        <w:bottom w:val="none" w:sz="0" w:space="0" w:color="auto"/>
        <w:right w:val="none" w:sz="0" w:space="0" w:color="auto"/>
      </w:divBdr>
    </w:div>
    <w:div w:id="562181509">
      <w:bodyDiv w:val="1"/>
      <w:marLeft w:val="0"/>
      <w:marRight w:val="0"/>
      <w:marTop w:val="0"/>
      <w:marBottom w:val="0"/>
      <w:divBdr>
        <w:top w:val="none" w:sz="0" w:space="0" w:color="auto"/>
        <w:left w:val="none" w:sz="0" w:space="0" w:color="auto"/>
        <w:bottom w:val="none" w:sz="0" w:space="0" w:color="auto"/>
        <w:right w:val="none" w:sz="0" w:space="0" w:color="auto"/>
      </w:divBdr>
    </w:div>
    <w:div w:id="579602845">
      <w:bodyDiv w:val="1"/>
      <w:marLeft w:val="0"/>
      <w:marRight w:val="0"/>
      <w:marTop w:val="0"/>
      <w:marBottom w:val="0"/>
      <w:divBdr>
        <w:top w:val="none" w:sz="0" w:space="0" w:color="auto"/>
        <w:left w:val="none" w:sz="0" w:space="0" w:color="auto"/>
        <w:bottom w:val="none" w:sz="0" w:space="0" w:color="auto"/>
        <w:right w:val="none" w:sz="0" w:space="0" w:color="auto"/>
      </w:divBdr>
    </w:div>
    <w:div w:id="581720353">
      <w:bodyDiv w:val="1"/>
      <w:marLeft w:val="0"/>
      <w:marRight w:val="0"/>
      <w:marTop w:val="0"/>
      <w:marBottom w:val="0"/>
      <w:divBdr>
        <w:top w:val="none" w:sz="0" w:space="0" w:color="auto"/>
        <w:left w:val="none" w:sz="0" w:space="0" w:color="auto"/>
        <w:bottom w:val="none" w:sz="0" w:space="0" w:color="auto"/>
        <w:right w:val="none" w:sz="0" w:space="0" w:color="auto"/>
      </w:divBdr>
    </w:div>
    <w:div w:id="595788079">
      <w:bodyDiv w:val="1"/>
      <w:marLeft w:val="0"/>
      <w:marRight w:val="0"/>
      <w:marTop w:val="0"/>
      <w:marBottom w:val="0"/>
      <w:divBdr>
        <w:top w:val="none" w:sz="0" w:space="0" w:color="auto"/>
        <w:left w:val="none" w:sz="0" w:space="0" w:color="auto"/>
        <w:bottom w:val="none" w:sz="0" w:space="0" w:color="auto"/>
        <w:right w:val="none" w:sz="0" w:space="0" w:color="auto"/>
      </w:divBdr>
    </w:div>
    <w:div w:id="630093340">
      <w:bodyDiv w:val="1"/>
      <w:marLeft w:val="0"/>
      <w:marRight w:val="0"/>
      <w:marTop w:val="0"/>
      <w:marBottom w:val="0"/>
      <w:divBdr>
        <w:top w:val="none" w:sz="0" w:space="0" w:color="auto"/>
        <w:left w:val="none" w:sz="0" w:space="0" w:color="auto"/>
        <w:bottom w:val="none" w:sz="0" w:space="0" w:color="auto"/>
        <w:right w:val="none" w:sz="0" w:space="0" w:color="auto"/>
      </w:divBdr>
    </w:div>
    <w:div w:id="683752878">
      <w:bodyDiv w:val="1"/>
      <w:marLeft w:val="0"/>
      <w:marRight w:val="0"/>
      <w:marTop w:val="0"/>
      <w:marBottom w:val="0"/>
      <w:divBdr>
        <w:top w:val="none" w:sz="0" w:space="0" w:color="auto"/>
        <w:left w:val="none" w:sz="0" w:space="0" w:color="auto"/>
        <w:bottom w:val="none" w:sz="0" w:space="0" w:color="auto"/>
        <w:right w:val="none" w:sz="0" w:space="0" w:color="auto"/>
      </w:divBdr>
    </w:div>
    <w:div w:id="699206252">
      <w:bodyDiv w:val="1"/>
      <w:marLeft w:val="0"/>
      <w:marRight w:val="0"/>
      <w:marTop w:val="0"/>
      <w:marBottom w:val="0"/>
      <w:divBdr>
        <w:top w:val="none" w:sz="0" w:space="0" w:color="auto"/>
        <w:left w:val="none" w:sz="0" w:space="0" w:color="auto"/>
        <w:bottom w:val="none" w:sz="0" w:space="0" w:color="auto"/>
        <w:right w:val="none" w:sz="0" w:space="0" w:color="auto"/>
      </w:divBdr>
    </w:div>
    <w:div w:id="718087490">
      <w:bodyDiv w:val="1"/>
      <w:marLeft w:val="0"/>
      <w:marRight w:val="0"/>
      <w:marTop w:val="0"/>
      <w:marBottom w:val="0"/>
      <w:divBdr>
        <w:top w:val="none" w:sz="0" w:space="0" w:color="auto"/>
        <w:left w:val="none" w:sz="0" w:space="0" w:color="auto"/>
        <w:bottom w:val="none" w:sz="0" w:space="0" w:color="auto"/>
        <w:right w:val="none" w:sz="0" w:space="0" w:color="auto"/>
      </w:divBdr>
    </w:div>
    <w:div w:id="748502223">
      <w:bodyDiv w:val="1"/>
      <w:marLeft w:val="0"/>
      <w:marRight w:val="0"/>
      <w:marTop w:val="0"/>
      <w:marBottom w:val="0"/>
      <w:divBdr>
        <w:top w:val="none" w:sz="0" w:space="0" w:color="auto"/>
        <w:left w:val="none" w:sz="0" w:space="0" w:color="auto"/>
        <w:bottom w:val="none" w:sz="0" w:space="0" w:color="auto"/>
        <w:right w:val="none" w:sz="0" w:space="0" w:color="auto"/>
      </w:divBdr>
    </w:div>
    <w:div w:id="764040336">
      <w:bodyDiv w:val="1"/>
      <w:marLeft w:val="0"/>
      <w:marRight w:val="0"/>
      <w:marTop w:val="0"/>
      <w:marBottom w:val="0"/>
      <w:divBdr>
        <w:top w:val="none" w:sz="0" w:space="0" w:color="auto"/>
        <w:left w:val="none" w:sz="0" w:space="0" w:color="auto"/>
        <w:bottom w:val="none" w:sz="0" w:space="0" w:color="auto"/>
        <w:right w:val="none" w:sz="0" w:space="0" w:color="auto"/>
      </w:divBdr>
    </w:div>
    <w:div w:id="766117141">
      <w:bodyDiv w:val="1"/>
      <w:marLeft w:val="0"/>
      <w:marRight w:val="0"/>
      <w:marTop w:val="0"/>
      <w:marBottom w:val="0"/>
      <w:divBdr>
        <w:top w:val="none" w:sz="0" w:space="0" w:color="auto"/>
        <w:left w:val="none" w:sz="0" w:space="0" w:color="auto"/>
        <w:bottom w:val="none" w:sz="0" w:space="0" w:color="auto"/>
        <w:right w:val="none" w:sz="0" w:space="0" w:color="auto"/>
      </w:divBdr>
    </w:div>
    <w:div w:id="787745447">
      <w:bodyDiv w:val="1"/>
      <w:marLeft w:val="0"/>
      <w:marRight w:val="0"/>
      <w:marTop w:val="0"/>
      <w:marBottom w:val="0"/>
      <w:divBdr>
        <w:top w:val="none" w:sz="0" w:space="0" w:color="auto"/>
        <w:left w:val="none" w:sz="0" w:space="0" w:color="auto"/>
        <w:bottom w:val="none" w:sz="0" w:space="0" w:color="auto"/>
        <w:right w:val="none" w:sz="0" w:space="0" w:color="auto"/>
      </w:divBdr>
    </w:div>
    <w:div w:id="788086857">
      <w:bodyDiv w:val="1"/>
      <w:marLeft w:val="0"/>
      <w:marRight w:val="0"/>
      <w:marTop w:val="0"/>
      <w:marBottom w:val="0"/>
      <w:divBdr>
        <w:top w:val="none" w:sz="0" w:space="0" w:color="auto"/>
        <w:left w:val="none" w:sz="0" w:space="0" w:color="auto"/>
        <w:bottom w:val="none" w:sz="0" w:space="0" w:color="auto"/>
        <w:right w:val="none" w:sz="0" w:space="0" w:color="auto"/>
      </w:divBdr>
    </w:div>
    <w:div w:id="810484940">
      <w:bodyDiv w:val="1"/>
      <w:marLeft w:val="0"/>
      <w:marRight w:val="0"/>
      <w:marTop w:val="0"/>
      <w:marBottom w:val="0"/>
      <w:divBdr>
        <w:top w:val="none" w:sz="0" w:space="0" w:color="auto"/>
        <w:left w:val="none" w:sz="0" w:space="0" w:color="auto"/>
        <w:bottom w:val="none" w:sz="0" w:space="0" w:color="auto"/>
        <w:right w:val="none" w:sz="0" w:space="0" w:color="auto"/>
      </w:divBdr>
    </w:div>
    <w:div w:id="883448927">
      <w:bodyDiv w:val="1"/>
      <w:marLeft w:val="0"/>
      <w:marRight w:val="0"/>
      <w:marTop w:val="0"/>
      <w:marBottom w:val="0"/>
      <w:divBdr>
        <w:top w:val="none" w:sz="0" w:space="0" w:color="auto"/>
        <w:left w:val="none" w:sz="0" w:space="0" w:color="auto"/>
        <w:bottom w:val="none" w:sz="0" w:space="0" w:color="auto"/>
        <w:right w:val="none" w:sz="0" w:space="0" w:color="auto"/>
      </w:divBdr>
    </w:div>
    <w:div w:id="884759940">
      <w:bodyDiv w:val="1"/>
      <w:marLeft w:val="0"/>
      <w:marRight w:val="0"/>
      <w:marTop w:val="0"/>
      <w:marBottom w:val="0"/>
      <w:divBdr>
        <w:top w:val="none" w:sz="0" w:space="0" w:color="auto"/>
        <w:left w:val="none" w:sz="0" w:space="0" w:color="auto"/>
        <w:bottom w:val="none" w:sz="0" w:space="0" w:color="auto"/>
        <w:right w:val="none" w:sz="0" w:space="0" w:color="auto"/>
      </w:divBdr>
    </w:div>
    <w:div w:id="897782395">
      <w:bodyDiv w:val="1"/>
      <w:marLeft w:val="0"/>
      <w:marRight w:val="0"/>
      <w:marTop w:val="0"/>
      <w:marBottom w:val="0"/>
      <w:divBdr>
        <w:top w:val="none" w:sz="0" w:space="0" w:color="auto"/>
        <w:left w:val="none" w:sz="0" w:space="0" w:color="auto"/>
        <w:bottom w:val="none" w:sz="0" w:space="0" w:color="auto"/>
        <w:right w:val="none" w:sz="0" w:space="0" w:color="auto"/>
      </w:divBdr>
    </w:div>
    <w:div w:id="905184331">
      <w:bodyDiv w:val="1"/>
      <w:marLeft w:val="0"/>
      <w:marRight w:val="0"/>
      <w:marTop w:val="0"/>
      <w:marBottom w:val="0"/>
      <w:divBdr>
        <w:top w:val="none" w:sz="0" w:space="0" w:color="auto"/>
        <w:left w:val="none" w:sz="0" w:space="0" w:color="auto"/>
        <w:bottom w:val="none" w:sz="0" w:space="0" w:color="auto"/>
        <w:right w:val="none" w:sz="0" w:space="0" w:color="auto"/>
      </w:divBdr>
    </w:div>
    <w:div w:id="905261373">
      <w:bodyDiv w:val="1"/>
      <w:marLeft w:val="0"/>
      <w:marRight w:val="0"/>
      <w:marTop w:val="0"/>
      <w:marBottom w:val="0"/>
      <w:divBdr>
        <w:top w:val="none" w:sz="0" w:space="0" w:color="auto"/>
        <w:left w:val="none" w:sz="0" w:space="0" w:color="auto"/>
        <w:bottom w:val="none" w:sz="0" w:space="0" w:color="auto"/>
        <w:right w:val="none" w:sz="0" w:space="0" w:color="auto"/>
      </w:divBdr>
    </w:div>
    <w:div w:id="924190940">
      <w:bodyDiv w:val="1"/>
      <w:marLeft w:val="0"/>
      <w:marRight w:val="0"/>
      <w:marTop w:val="0"/>
      <w:marBottom w:val="0"/>
      <w:divBdr>
        <w:top w:val="none" w:sz="0" w:space="0" w:color="auto"/>
        <w:left w:val="none" w:sz="0" w:space="0" w:color="auto"/>
        <w:bottom w:val="none" w:sz="0" w:space="0" w:color="auto"/>
        <w:right w:val="none" w:sz="0" w:space="0" w:color="auto"/>
      </w:divBdr>
    </w:div>
    <w:div w:id="924803956">
      <w:bodyDiv w:val="1"/>
      <w:marLeft w:val="0"/>
      <w:marRight w:val="0"/>
      <w:marTop w:val="0"/>
      <w:marBottom w:val="0"/>
      <w:divBdr>
        <w:top w:val="none" w:sz="0" w:space="0" w:color="auto"/>
        <w:left w:val="none" w:sz="0" w:space="0" w:color="auto"/>
        <w:bottom w:val="none" w:sz="0" w:space="0" w:color="auto"/>
        <w:right w:val="none" w:sz="0" w:space="0" w:color="auto"/>
      </w:divBdr>
    </w:div>
    <w:div w:id="930435156">
      <w:bodyDiv w:val="1"/>
      <w:marLeft w:val="0"/>
      <w:marRight w:val="0"/>
      <w:marTop w:val="0"/>
      <w:marBottom w:val="0"/>
      <w:divBdr>
        <w:top w:val="none" w:sz="0" w:space="0" w:color="auto"/>
        <w:left w:val="none" w:sz="0" w:space="0" w:color="auto"/>
        <w:bottom w:val="none" w:sz="0" w:space="0" w:color="auto"/>
        <w:right w:val="none" w:sz="0" w:space="0" w:color="auto"/>
      </w:divBdr>
    </w:div>
    <w:div w:id="949750378">
      <w:bodyDiv w:val="1"/>
      <w:marLeft w:val="0"/>
      <w:marRight w:val="0"/>
      <w:marTop w:val="0"/>
      <w:marBottom w:val="0"/>
      <w:divBdr>
        <w:top w:val="none" w:sz="0" w:space="0" w:color="auto"/>
        <w:left w:val="none" w:sz="0" w:space="0" w:color="auto"/>
        <w:bottom w:val="none" w:sz="0" w:space="0" w:color="auto"/>
        <w:right w:val="none" w:sz="0" w:space="0" w:color="auto"/>
      </w:divBdr>
    </w:div>
    <w:div w:id="985160662">
      <w:bodyDiv w:val="1"/>
      <w:marLeft w:val="0"/>
      <w:marRight w:val="0"/>
      <w:marTop w:val="0"/>
      <w:marBottom w:val="0"/>
      <w:divBdr>
        <w:top w:val="none" w:sz="0" w:space="0" w:color="auto"/>
        <w:left w:val="none" w:sz="0" w:space="0" w:color="auto"/>
        <w:bottom w:val="none" w:sz="0" w:space="0" w:color="auto"/>
        <w:right w:val="none" w:sz="0" w:space="0" w:color="auto"/>
      </w:divBdr>
    </w:div>
    <w:div w:id="991107601">
      <w:bodyDiv w:val="1"/>
      <w:marLeft w:val="0"/>
      <w:marRight w:val="0"/>
      <w:marTop w:val="0"/>
      <w:marBottom w:val="0"/>
      <w:divBdr>
        <w:top w:val="none" w:sz="0" w:space="0" w:color="auto"/>
        <w:left w:val="none" w:sz="0" w:space="0" w:color="auto"/>
        <w:bottom w:val="none" w:sz="0" w:space="0" w:color="auto"/>
        <w:right w:val="none" w:sz="0" w:space="0" w:color="auto"/>
      </w:divBdr>
    </w:div>
    <w:div w:id="998265828">
      <w:bodyDiv w:val="1"/>
      <w:marLeft w:val="0"/>
      <w:marRight w:val="0"/>
      <w:marTop w:val="0"/>
      <w:marBottom w:val="0"/>
      <w:divBdr>
        <w:top w:val="none" w:sz="0" w:space="0" w:color="auto"/>
        <w:left w:val="none" w:sz="0" w:space="0" w:color="auto"/>
        <w:bottom w:val="none" w:sz="0" w:space="0" w:color="auto"/>
        <w:right w:val="none" w:sz="0" w:space="0" w:color="auto"/>
      </w:divBdr>
    </w:div>
    <w:div w:id="999389098">
      <w:bodyDiv w:val="1"/>
      <w:marLeft w:val="0"/>
      <w:marRight w:val="0"/>
      <w:marTop w:val="0"/>
      <w:marBottom w:val="0"/>
      <w:divBdr>
        <w:top w:val="none" w:sz="0" w:space="0" w:color="auto"/>
        <w:left w:val="none" w:sz="0" w:space="0" w:color="auto"/>
        <w:bottom w:val="none" w:sz="0" w:space="0" w:color="auto"/>
        <w:right w:val="none" w:sz="0" w:space="0" w:color="auto"/>
      </w:divBdr>
    </w:div>
    <w:div w:id="1028724093">
      <w:bodyDiv w:val="1"/>
      <w:marLeft w:val="0"/>
      <w:marRight w:val="0"/>
      <w:marTop w:val="0"/>
      <w:marBottom w:val="0"/>
      <w:divBdr>
        <w:top w:val="none" w:sz="0" w:space="0" w:color="auto"/>
        <w:left w:val="none" w:sz="0" w:space="0" w:color="auto"/>
        <w:bottom w:val="none" w:sz="0" w:space="0" w:color="auto"/>
        <w:right w:val="none" w:sz="0" w:space="0" w:color="auto"/>
      </w:divBdr>
    </w:div>
    <w:div w:id="1043939212">
      <w:bodyDiv w:val="1"/>
      <w:marLeft w:val="0"/>
      <w:marRight w:val="0"/>
      <w:marTop w:val="0"/>
      <w:marBottom w:val="0"/>
      <w:divBdr>
        <w:top w:val="none" w:sz="0" w:space="0" w:color="auto"/>
        <w:left w:val="none" w:sz="0" w:space="0" w:color="auto"/>
        <w:bottom w:val="none" w:sz="0" w:space="0" w:color="auto"/>
        <w:right w:val="none" w:sz="0" w:space="0" w:color="auto"/>
      </w:divBdr>
    </w:div>
    <w:div w:id="1047146128">
      <w:bodyDiv w:val="1"/>
      <w:marLeft w:val="0"/>
      <w:marRight w:val="0"/>
      <w:marTop w:val="0"/>
      <w:marBottom w:val="0"/>
      <w:divBdr>
        <w:top w:val="none" w:sz="0" w:space="0" w:color="auto"/>
        <w:left w:val="none" w:sz="0" w:space="0" w:color="auto"/>
        <w:bottom w:val="none" w:sz="0" w:space="0" w:color="auto"/>
        <w:right w:val="none" w:sz="0" w:space="0" w:color="auto"/>
      </w:divBdr>
    </w:div>
    <w:div w:id="1058632489">
      <w:bodyDiv w:val="1"/>
      <w:marLeft w:val="0"/>
      <w:marRight w:val="0"/>
      <w:marTop w:val="0"/>
      <w:marBottom w:val="0"/>
      <w:divBdr>
        <w:top w:val="none" w:sz="0" w:space="0" w:color="auto"/>
        <w:left w:val="none" w:sz="0" w:space="0" w:color="auto"/>
        <w:bottom w:val="none" w:sz="0" w:space="0" w:color="auto"/>
        <w:right w:val="none" w:sz="0" w:space="0" w:color="auto"/>
      </w:divBdr>
    </w:div>
    <w:div w:id="1080441748">
      <w:bodyDiv w:val="1"/>
      <w:marLeft w:val="0"/>
      <w:marRight w:val="0"/>
      <w:marTop w:val="0"/>
      <w:marBottom w:val="0"/>
      <w:divBdr>
        <w:top w:val="none" w:sz="0" w:space="0" w:color="auto"/>
        <w:left w:val="none" w:sz="0" w:space="0" w:color="auto"/>
        <w:bottom w:val="none" w:sz="0" w:space="0" w:color="auto"/>
        <w:right w:val="none" w:sz="0" w:space="0" w:color="auto"/>
      </w:divBdr>
    </w:div>
    <w:div w:id="1084841831">
      <w:bodyDiv w:val="1"/>
      <w:marLeft w:val="0"/>
      <w:marRight w:val="0"/>
      <w:marTop w:val="0"/>
      <w:marBottom w:val="0"/>
      <w:divBdr>
        <w:top w:val="none" w:sz="0" w:space="0" w:color="auto"/>
        <w:left w:val="none" w:sz="0" w:space="0" w:color="auto"/>
        <w:bottom w:val="none" w:sz="0" w:space="0" w:color="auto"/>
        <w:right w:val="none" w:sz="0" w:space="0" w:color="auto"/>
      </w:divBdr>
    </w:div>
    <w:div w:id="1128083675">
      <w:bodyDiv w:val="1"/>
      <w:marLeft w:val="0"/>
      <w:marRight w:val="0"/>
      <w:marTop w:val="0"/>
      <w:marBottom w:val="0"/>
      <w:divBdr>
        <w:top w:val="none" w:sz="0" w:space="0" w:color="auto"/>
        <w:left w:val="none" w:sz="0" w:space="0" w:color="auto"/>
        <w:bottom w:val="none" w:sz="0" w:space="0" w:color="auto"/>
        <w:right w:val="none" w:sz="0" w:space="0" w:color="auto"/>
      </w:divBdr>
    </w:div>
    <w:div w:id="1128473795">
      <w:bodyDiv w:val="1"/>
      <w:marLeft w:val="0"/>
      <w:marRight w:val="0"/>
      <w:marTop w:val="0"/>
      <w:marBottom w:val="0"/>
      <w:divBdr>
        <w:top w:val="none" w:sz="0" w:space="0" w:color="auto"/>
        <w:left w:val="none" w:sz="0" w:space="0" w:color="auto"/>
        <w:bottom w:val="none" w:sz="0" w:space="0" w:color="auto"/>
        <w:right w:val="none" w:sz="0" w:space="0" w:color="auto"/>
      </w:divBdr>
    </w:div>
    <w:div w:id="1136993775">
      <w:bodyDiv w:val="1"/>
      <w:marLeft w:val="0"/>
      <w:marRight w:val="0"/>
      <w:marTop w:val="0"/>
      <w:marBottom w:val="0"/>
      <w:divBdr>
        <w:top w:val="none" w:sz="0" w:space="0" w:color="auto"/>
        <w:left w:val="none" w:sz="0" w:space="0" w:color="auto"/>
        <w:bottom w:val="none" w:sz="0" w:space="0" w:color="auto"/>
        <w:right w:val="none" w:sz="0" w:space="0" w:color="auto"/>
      </w:divBdr>
    </w:div>
    <w:div w:id="1139881261">
      <w:bodyDiv w:val="1"/>
      <w:marLeft w:val="0"/>
      <w:marRight w:val="0"/>
      <w:marTop w:val="0"/>
      <w:marBottom w:val="0"/>
      <w:divBdr>
        <w:top w:val="none" w:sz="0" w:space="0" w:color="auto"/>
        <w:left w:val="none" w:sz="0" w:space="0" w:color="auto"/>
        <w:bottom w:val="none" w:sz="0" w:space="0" w:color="auto"/>
        <w:right w:val="none" w:sz="0" w:space="0" w:color="auto"/>
      </w:divBdr>
    </w:div>
    <w:div w:id="1151410865">
      <w:bodyDiv w:val="1"/>
      <w:marLeft w:val="0"/>
      <w:marRight w:val="0"/>
      <w:marTop w:val="0"/>
      <w:marBottom w:val="0"/>
      <w:divBdr>
        <w:top w:val="none" w:sz="0" w:space="0" w:color="auto"/>
        <w:left w:val="none" w:sz="0" w:space="0" w:color="auto"/>
        <w:bottom w:val="none" w:sz="0" w:space="0" w:color="auto"/>
        <w:right w:val="none" w:sz="0" w:space="0" w:color="auto"/>
      </w:divBdr>
    </w:div>
    <w:div w:id="1152911979">
      <w:bodyDiv w:val="1"/>
      <w:marLeft w:val="0"/>
      <w:marRight w:val="0"/>
      <w:marTop w:val="0"/>
      <w:marBottom w:val="0"/>
      <w:divBdr>
        <w:top w:val="none" w:sz="0" w:space="0" w:color="auto"/>
        <w:left w:val="none" w:sz="0" w:space="0" w:color="auto"/>
        <w:bottom w:val="none" w:sz="0" w:space="0" w:color="auto"/>
        <w:right w:val="none" w:sz="0" w:space="0" w:color="auto"/>
      </w:divBdr>
    </w:div>
    <w:div w:id="1186872441">
      <w:bodyDiv w:val="1"/>
      <w:marLeft w:val="0"/>
      <w:marRight w:val="0"/>
      <w:marTop w:val="0"/>
      <w:marBottom w:val="0"/>
      <w:divBdr>
        <w:top w:val="none" w:sz="0" w:space="0" w:color="auto"/>
        <w:left w:val="none" w:sz="0" w:space="0" w:color="auto"/>
        <w:bottom w:val="none" w:sz="0" w:space="0" w:color="auto"/>
        <w:right w:val="none" w:sz="0" w:space="0" w:color="auto"/>
      </w:divBdr>
    </w:div>
    <w:div w:id="1194657031">
      <w:bodyDiv w:val="1"/>
      <w:marLeft w:val="0"/>
      <w:marRight w:val="0"/>
      <w:marTop w:val="0"/>
      <w:marBottom w:val="0"/>
      <w:divBdr>
        <w:top w:val="none" w:sz="0" w:space="0" w:color="auto"/>
        <w:left w:val="none" w:sz="0" w:space="0" w:color="auto"/>
        <w:bottom w:val="none" w:sz="0" w:space="0" w:color="auto"/>
        <w:right w:val="none" w:sz="0" w:space="0" w:color="auto"/>
      </w:divBdr>
    </w:div>
    <w:div w:id="1199009498">
      <w:bodyDiv w:val="1"/>
      <w:marLeft w:val="0"/>
      <w:marRight w:val="0"/>
      <w:marTop w:val="0"/>
      <w:marBottom w:val="0"/>
      <w:divBdr>
        <w:top w:val="none" w:sz="0" w:space="0" w:color="auto"/>
        <w:left w:val="none" w:sz="0" w:space="0" w:color="auto"/>
        <w:bottom w:val="none" w:sz="0" w:space="0" w:color="auto"/>
        <w:right w:val="none" w:sz="0" w:space="0" w:color="auto"/>
      </w:divBdr>
    </w:div>
    <w:div w:id="1207793048">
      <w:bodyDiv w:val="1"/>
      <w:marLeft w:val="0"/>
      <w:marRight w:val="0"/>
      <w:marTop w:val="0"/>
      <w:marBottom w:val="0"/>
      <w:divBdr>
        <w:top w:val="none" w:sz="0" w:space="0" w:color="auto"/>
        <w:left w:val="none" w:sz="0" w:space="0" w:color="auto"/>
        <w:bottom w:val="none" w:sz="0" w:space="0" w:color="auto"/>
        <w:right w:val="none" w:sz="0" w:space="0" w:color="auto"/>
      </w:divBdr>
    </w:div>
    <w:div w:id="1215385902">
      <w:bodyDiv w:val="1"/>
      <w:marLeft w:val="0"/>
      <w:marRight w:val="0"/>
      <w:marTop w:val="0"/>
      <w:marBottom w:val="0"/>
      <w:divBdr>
        <w:top w:val="none" w:sz="0" w:space="0" w:color="auto"/>
        <w:left w:val="none" w:sz="0" w:space="0" w:color="auto"/>
        <w:bottom w:val="none" w:sz="0" w:space="0" w:color="auto"/>
        <w:right w:val="none" w:sz="0" w:space="0" w:color="auto"/>
      </w:divBdr>
    </w:div>
    <w:div w:id="1220824434">
      <w:bodyDiv w:val="1"/>
      <w:marLeft w:val="0"/>
      <w:marRight w:val="0"/>
      <w:marTop w:val="0"/>
      <w:marBottom w:val="0"/>
      <w:divBdr>
        <w:top w:val="none" w:sz="0" w:space="0" w:color="auto"/>
        <w:left w:val="none" w:sz="0" w:space="0" w:color="auto"/>
        <w:bottom w:val="none" w:sz="0" w:space="0" w:color="auto"/>
        <w:right w:val="none" w:sz="0" w:space="0" w:color="auto"/>
      </w:divBdr>
    </w:div>
    <w:div w:id="1260916290">
      <w:bodyDiv w:val="1"/>
      <w:marLeft w:val="0"/>
      <w:marRight w:val="0"/>
      <w:marTop w:val="0"/>
      <w:marBottom w:val="0"/>
      <w:divBdr>
        <w:top w:val="none" w:sz="0" w:space="0" w:color="auto"/>
        <w:left w:val="none" w:sz="0" w:space="0" w:color="auto"/>
        <w:bottom w:val="none" w:sz="0" w:space="0" w:color="auto"/>
        <w:right w:val="none" w:sz="0" w:space="0" w:color="auto"/>
      </w:divBdr>
    </w:div>
    <w:div w:id="1274901350">
      <w:bodyDiv w:val="1"/>
      <w:marLeft w:val="0"/>
      <w:marRight w:val="0"/>
      <w:marTop w:val="0"/>
      <w:marBottom w:val="0"/>
      <w:divBdr>
        <w:top w:val="none" w:sz="0" w:space="0" w:color="auto"/>
        <w:left w:val="none" w:sz="0" w:space="0" w:color="auto"/>
        <w:bottom w:val="none" w:sz="0" w:space="0" w:color="auto"/>
        <w:right w:val="none" w:sz="0" w:space="0" w:color="auto"/>
      </w:divBdr>
    </w:div>
    <w:div w:id="1299413867">
      <w:bodyDiv w:val="1"/>
      <w:marLeft w:val="0"/>
      <w:marRight w:val="0"/>
      <w:marTop w:val="0"/>
      <w:marBottom w:val="0"/>
      <w:divBdr>
        <w:top w:val="none" w:sz="0" w:space="0" w:color="auto"/>
        <w:left w:val="none" w:sz="0" w:space="0" w:color="auto"/>
        <w:bottom w:val="none" w:sz="0" w:space="0" w:color="auto"/>
        <w:right w:val="none" w:sz="0" w:space="0" w:color="auto"/>
      </w:divBdr>
    </w:div>
    <w:div w:id="1323000325">
      <w:bodyDiv w:val="1"/>
      <w:marLeft w:val="0"/>
      <w:marRight w:val="0"/>
      <w:marTop w:val="0"/>
      <w:marBottom w:val="0"/>
      <w:divBdr>
        <w:top w:val="none" w:sz="0" w:space="0" w:color="auto"/>
        <w:left w:val="none" w:sz="0" w:space="0" w:color="auto"/>
        <w:bottom w:val="none" w:sz="0" w:space="0" w:color="auto"/>
        <w:right w:val="none" w:sz="0" w:space="0" w:color="auto"/>
      </w:divBdr>
    </w:div>
    <w:div w:id="1337609819">
      <w:bodyDiv w:val="1"/>
      <w:marLeft w:val="0"/>
      <w:marRight w:val="0"/>
      <w:marTop w:val="0"/>
      <w:marBottom w:val="0"/>
      <w:divBdr>
        <w:top w:val="none" w:sz="0" w:space="0" w:color="auto"/>
        <w:left w:val="none" w:sz="0" w:space="0" w:color="auto"/>
        <w:bottom w:val="none" w:sz="0" w:space="0" w:color="auto"/>
        <w:right w:val="none" w:sz="0" w:space="0" w:color="auto"/>
      </w:divBdr>
    </w:div>
    <w:div w:id="1345477815">
      <w:bodyDiv w:val="1"/>
      <w:marLeft w:val="0"/>
      <w:marRight w:val="0"/>
      <w:marTop w:val="0"/>
      <w:marBottom w:val="0"/>
      <w:divBdr>
        <w:top w:val="none" w:sz="0" w:space="0" w:color="auto"/>
        <w:left w:val="none" w:sz="0" w:space="0" w:color="auto"/>
        <w:bottom w:val="none" w:sz="0" w:space="0" w:color="auto"/>
        <w:right w:val="none" w:sz="0" w:space="0" w:color="auto"/>
      </w:divBdr>
    </w:div>
    <w:div w:id="1356299717">
      <w:bodyDiv w:val="1"/>
      <w:marLeft w:val="0"/>
      <w:marRight w:val="0"/>
      <w:marTop w:val="0"/>
      <w:marBottom w:val="0"/>
      <w:divBdr>
        <w:top w:val="none" w:sz="0" w:space="0" w:color="auto"/>
        <w:left w:val="none" w:sz="0" w:space="0" w:color="auto"/>
        <w:bottom w:val="none" w:sz="0" w:space="0" w:color="auto"/>
        <w:right w:val="none" w:sz="0" w:space="0" w:color="auto"/>
      </w:divBdr>
    </w:div>
    <w:div w:id="1358504290">
      <w:bodyDiv w:val="1"/>
      <w:marLeft w:val="0"/>
      <w:marRight w:val="0"/>
      <w:marTop w:val="0"/>
      <w:marBottom w:val="0"/>
      <w:divBdr>
        <w:top w:val="none" w:sz="0" w:space="0" w:color="auto"/>
        <w:left w:val="none" w:sz="0" w:space="0" w:color="auto"/>
        <w:bottom w:val="none" w:sz="0" w:space="0" w:color="auto"/>
        <w:right w:val="none" w:sz="0" w:space="0" w:color="auto"/>
      </w:divBdr>
    </w:div>
    <w:div w:id="1383292044">
      <w:bodyDiv w:val="1"/>
      <w:marLeft w:val="0"/>
      <w:marRight w:val="0"/>
      <w:marTop w:val="0"/>
      <w:marBottom w:val="0"/>
      <w:divBdr>
        <w:top w:val="none" w:sz="0" w:space="0" w:color="auto"/>
        <w:left w:val="none" w:sz="0" w:space="0" w:color="auto"/>
        <w:bottom w:val="none" w:sz="0" w:space="0" w:color="auto"/>
        <w:right w:val="none" w:sz="0" w:space="0" w:color="auto"/>
      </w:divBdr>
    </w:div>
    <w:div w:id="1397586274">
      <w:bodyDiv w:val="1"/>
      <w:marLeft w:val="0"/>
      <w:marRight w:val="0"/>
      <w:marTop w:val="0"/>
      <w:marBottom w:val="0"/>
      <w:divBdr>
        <w:top w:val="none" w:sz="0" w:space="0" w:color="auto"/>
        <w:left w:val="none" w:sz="0" w:space="0" w:color="auto"/>
        <w:bottom w:val="none" w:sz="0" w:space="0" w:color="auto"/>
        <w:right w:val="none" w:sz="0" w:space="0" w:color="auto"/>
      </w:divBdr>
    </w:div>
    <w:div w:id="1407534557">
      <w:bodyDiv w:val="1"/>
      <w:marLeft w:val="0"/>
      <w:marRight w:val="0"/>
      <w:marTop w:val="0"/>
      <w:marBottom w:val="0"/>
      <w:divBdr>
        <w:top w:val="none" w:sz="0" w:space="0" w:color="auto"/>
        <w:left w:val="none" w:sz="0" w:space="0" w:color="auto"/>
        <w:bottom w:val="none" w:sz="0" w:space="0" w:color="auto"/>
        <w:right w:val="none" w:sz="0" w:space="0" w:color="auto"/>
      </w:divBdr>
    </w:div>
    <w:div w:id="1422795938">
      <w:bodyDiv w:val="1"/>
      <w:marLeft w:val="0"/>
      <w:marRight w:val="0"/>
      <w:marTop w:val="0"/>
      <w:marBottom w:val="0"/>
      <w:divBdr>
        <w:top w:val="none" w:sz="0" w:space="0" w:color="auto"/>
        <w:left w:val="none" w:sz="0" w:space="0" w:color="auto"/>
        <w:bottom w:val="none" w:sz="0" w:space="0" w:color="auto"/>
        <w:right w:val="none" w:sz="0" w:space="0" w:color="auto"/>
      </w:divBdr>
    </w:div>
    <w:div w:id="1426343842">
      <w:bodyDiv w:val="1"/>
      <w:marLeft w:val="0"/>
      <w:marRight w:val="0"/>
      <w:marTop w:val="0"/>
      <w:marBottom w:val="0"/>
      <w:divBdr>
        <w:top w:val="none" w:sz="0" w:space="0" w:color="auto"/>
        <w:left w:val="none" w:sz="0" w:space="0" w:color="auto"/>
        <w:bottom w:val="none" w:sz="0" w:space="0" w:color="auto"/>
        <w:right w:val="none" w:sz="0" w:space="0" w:color="auto"/>
      </w:divBdr>
    </w:div>
    <w:div w:id="1438404729">
      <w:bodyDiv w:val="1"/>
      <w:marLeft w:val="0"/>
      <w:marRight w:val="0"/>
      <w:marTop w:val="0"/>
      <w:marBottom w:val="0"/>
      <w:divBdr>
        <w:top w:val="none" w:sz="0" w:space="0" w:color="auto"/>
        <w:left w:val="none" w:sz="0" w:space="0" w:color="auto"/>
        <w:bottom w:val="none" w:sz="0" w:space="0" w:color="auto"/>
        <w:right w:val="none" w:sz="0" w:space="0" w:color="auto"/>
      </w:divBdr>
    </w:div>
    <w:div w:id="1459950627">
      <w:bodyDiv w:val="1"/>
      <w:marLeft w:val="0"/>
      <w:marRight w:val="0"/>
      <w:marTop w:val="0"/>
      <w:marBottom w:val="0"/>
      <w:divBdr>
        <w:top w:val="none" w:sz="0" w:space="0" w:color="auto"/>
        <w:left w:val="none" w:sz="0" w:space="0" w:color="auto"/>
        <w:bottom w:val="none" w:sz="0" w:space="0" w:color="auto"/>
        <w:right w:val="none" w:sz="0" w:space="0" w:color="auto"/>
      </w:divBdr>
    </w:div>
    <w:div w:id="1519998535">
      <w:bodyDiv w:val="1"/>
      <w:marLeft w:val="0"/>
      <w:marRight w:val="0"/>
      <w:marTop w:val="0"/>
      <w:marBottom w:val="0"/>
      <w:divBdr>
        <w:top w:val="none" w:sz="0" w:space="0" w:color="auto"/>
        <w:left w:val="none" w:sz="0" w:space="0" w:color="auto"/>
        <w:bottom w:val="none" w:sz="0" w:space="0" w:color="auto"/>
        <w:right w:val="none" w:sz="0" w:space="0" w:color="auto"/>
      </w:divBdr>
    </w:div>
    <w:div w:id="1522669483">
      <w:bodyDiv w:val="1"/>
      <w:marLeft w:val="0"/>
      <w:marRight w:val="0"/>
      <w:marTop w:val="0"/>
      <w:marBottom w:val="0"/>
      <w:divBdr>
        <w:top w:val="none" w:sz="0" w:space="0" w:color="auto"/>
        <w:left w:val="none" w:sz="0" w:space="0" w:color="auto"/>
        <w:bottom w:val="none" w:sz="0" w:space="0" w:color="auto"/>
        <w:right w:val="none" w:sz="0" w:space="0" w:color="auto"/>
      </w:divBdr>
    </w:div>
    <w:div w:id="1540967484">
      <w:bodyDiv w:val="1"/>
      <w:marLeft w:val="0"/>
      <w:marRight w:val="0"/>
      <w:marTop w:val="0"/>
      <w:marBottom w:val="0"/>
      <w:divBdr>
        <w:top w:val="none" w:sz="0" w:space="0" w:color="auto"/>
        <w:left w:val="none" w:sz="0" w:space="0" w:color="auto"/>
        <w:bottom w:val="none" w:sz="0" w:space="0" w:color="auto"/>
        <w:right w:val="none" w:sz="0" w:space="0" w:color="auto"/>
      </w:divBdr>
    </w:div>
    <w:div w:id="1550536564">
      <w:bodyDiv w:val="1"/>
      <w:marLeft w:val="0"/>
      <w:marRight w:val="0"/>
      <w:marTop w:val="0"/>
      <w:marBottom w:val="0"/>
      <w:divBdr>
        <w:top w:val="none" w:sz="0" w:space="0" w:color="auto"/>
        <w:left w:val="none" w:sz="0" w:space="0" w:color="auto"/>
        <w:bottom w:val="none" w:sz="0" w:space="0" w:color="auto"/>
        <w:right w:val="none" w:sz="0" w:space="0" w:color="auto"/>
      </w:divBdr>
    </w:div>
    <w:div w:id="1556162650">
      <w:bodyDiv w:val="1"/>
      <w:marLeft w:val="0"/>
      <w:marRight w:val="0"/>
      <w:marTop w:val="0"/>
      <w:marBottom w:val="0"/>
      <w:divBdr>
        <w:top w:val="none" w:sz="0" w:space="0" w:color="auto"/>
        <w:left w:val="none" w:sz="0" w:space="0" w:color="auto"/>
        <w:bottom w:val="none" w:sz="0" w:space="0" w:color="auto"/>
        <w:right w:val="none" w:sz="0" w:space="0" w:color="auto"/>
      </w:divBdr>
    </w:div>
    <w:div w:id="1558081829">
      <w:bodyDiv w:val="1"/>
      <w:marLeft w:val="0"/>
      <w:marRight w:val="0"/>
      <w:marTop w:val="0"/>
      <w:marBottom w:val="0"/>
      <w:divBdr>
        <w:top w:val="none" w:sz="0" w:space="0" w:color="auto"/>
        <w:left w:val="none" w:sz="0" w:space="0" w:color="auto"/>
        <w:bottom w:val="none" w:sz="0" w:space="0" w:color="auto"/>
        <w:right w:val="none" w:sz="0" w:space="0" w:color="auto"/>
      </w:divBdr>
    </w:div>
    <w:div w:id="1567912693">
      <w:bodyDiv w:val="1"/>
      <w:marLeft w:val="0"/>
      <w:marRight w:val="0"/>
      <w:marTop w:val="0"/>
      <w:marBottom w:val="0"/>
      <w:divBdr>
        <w:top w:val="none" w:sz="0" w:space="0" w:color="auto"/>
        <w:left w:val="none" w:sz="0" w:space="0" w:color="auto"/>
        <w:bottom w:val="none" w:sz="0" w:space="0" w:color="auto"/>
        <w:right w:val="none" w:sz="0" w:space="0" w:color="auto"/>
      </w:divBdr>
    </w:div>
    <w:div w:id="1598442631">
      <w:bodyDiv w:val="1"/>
      <w:marLeft w:val="0"/>
      <w:marRight w:val="0"/>
      <w:marTop w:val="0"/>
      <w:marBottom w:val="0"/>
      <w:divBdr>
        <w:top w:val="none" w:sz="0" w:space="0" w:color="auto"/>
        <w:left w:val="none" w:sz="0" w:space="0" w:color="auto"/>
        <w:bottom w:val="none" w:sz="0" w:space="0" w:color="auto"/>
        <w:right w:val="none" w:sz="0" w:space="0" w:color="auto"/>
      </w:divBdr>
    </w:div>
    <w:div w:id="1622878402">
      <w:bodyDiv w:val="1"/>
      <w:marLeft w:val="0"/>
      <w:marRight w:val="0"/>
      <w:marTop w:val="0"/>
      <w:marBottom w:val="0"/>
      <w:divBdr>
        <w:top w:val="none" w:sz="0" w:space="0" w:color="auto"/>
        <w:left w:val="none" w:sz="0" w:space="0" w:color="auto"/>
        <w:bottom w:val="none" w:sz="0" w:space="0" w:color="auto"/>
        <w:right w:val="none" w:sz="0" w:space="0" w:color="auto"/>
      </w:divBdr>
    </w:div>
    <w:div w:id="1630239485">
      <w:bodyDiv w:val="1"/>
      <w:marLeft w:val="0"/>
      <w:marRight w:val="0"/>
      <w:marTop w:val="0"/>
      <w:marBottom w:val="0"/>
      <w:divBdr>
        <w:top w:val="none" w:sz="0" w:space="0" w:color="auto"/>
        <w:left w:val="none" w:sz="0" w:space="0" w:color="auto"/>
        <w:bottom w:val="none" w:sz="0" w:space="0" w:color="auto"/>
        <w:right w:val="none" w:sz="0" w:space="0" w:color="auto"/>
      </w:divBdr>
    </w:div>
    <w:div w:id="1630359659">
      <w:bodyDiv w:val="1"/>
      <w:marLeft w:val="0"/>
      <w:marRight w:val="0"/>
      <w:marTop w:val="0"/>
      <w:marBottom w:val="0"/>
      <w:divBdr>
        <w:top w:val="none" w:sz="0" w:space="0" w:color="auto"/>
        <w:left w:val="none" w:sz="0" w:space="0" w:color="auto"/>
        <w:bottom w:val="none" w:sz="0" w:space="0" w:color="auto"/>
        <w:right w:val="none" w:sz="0" w:space="0" w:color="auto"/>
      </w:divBdr>
    </w:div>
    <w:div w:id="1667780855">
      <w:bodyDiv w:val="1"/>
      <w:marLeft w:val="0"/>
      <w:marRight w:val="0"/>
      <w:marTop w:val="0"/>
      <w:marBottom w:val="0"/>
      <w:divBdr>
        <w:top w:val="none" w:sz="0" w:space="0" w:color="auto"/>
        <w:left w:val="none" w:sz="0" w:space="0" w:color="auto"/>
        <w:bottom w:val="none" w:sz="0" w:space="0" w:color="auto"/>
        <w:right w:val="none" w:sz="0" w:space="0" w:color="auto"/>
      </w:divBdr>
    </w:div>
    <w:div w:id="1676496743">
      <w:bodyDiv w:val="1"/>
      <w:marLeft w:val="0"/>
      <w:marRight w:val="0"/>
      <w:marTop w:val="0"/>
      <w:marBottom w:val="0"/>
      <w:divBdr>
        <w:top w:val="none" w:sz="0" w:space="0" w:color="auto"/>
        <w:left w:val="none" w:sz="0" w:space="0" w:color="auto"/>
        <w:bottom w:val="none" w:sz="0" w:space="0" w:color="auto"/>
        <w:right w:val="none" w:sz="0" w:space="0" w:color="auto"/>
      </w:divBdr>
    </w:div>
    <w:div w:id="1723598068">
      <w:bodyDiv w:val="1"/>
      <w:marLeft w:val="0"/>
      <w:marRight w:val="0"/>
      <w:marTop w:val="0"/>
      <w:marBottom w:val="0"/>
      <w:divBdr>
        <w:top w:val="none" w:sz="0" w:space="0" w:color="auto"/>
        <w:left w:val="none" w:sz="0" w:space="0" w:color="auto"/>
        <w:bottom w:val="none" w:sz="0" w:space="0" w:color="auto"/>
        <w:right w:val="none" w:sz="0" w:space="0" w:color="auto"/>
      </w:divBdr>
    </w:div>
    <w:div w:id="1760325110">
      <w:bodyDiv w:val="1"/>
      <w:marLeft w:val="0"/>
      <w:marRight w:val="0"/>
      <w:marTop w:val="0"/>
      <w:marBottom w:val="0"/>
      <w:divBdr>
        <w:top w:val="none" w:sz="0" w:space="0" w:color="auto"/>
        <w:left w:val="none" w:sz="0" w:space="0" w:color="auto"/>
        <w:bottom w:val="none" w:sz="0" w:space="0" w:color="auto"/>
        <w:right w:val="none" w:sz="0" w:space="0" w:color="auto"/>
      </w:divBdr>
    </w:div>
    <w:div w:id="1769041289">
      <w:bodyDiv w:val="1"/>
      <w:marLeft w:val="0"/>
      <w:marRight w:val="0"/>
      <w:marTop w:val="0"/>
      <w:marBottom w:val="0"/>
      <w:divBdr>
        <w:top w:val="none" w:sz="0" w:space="0" w:color="auto"/>
        <w:left w:val="none" w:sz="0" w:space="0" w:color="auto"/>
        <w:bottom w:val="none" w:sz="0" w:space="0" w:color="auto"/>
        <w:right w:val="none" w:sz="0" w:space="0" w:color="auto"/>
      </w:divBdr>
    </w:div>
    <w:div w:id="1830748208">
      <w:bodyDiv w:val="1"/>
      <w:marLeft w:val="0"/>
      <w:marRight w:val="0"/>
      <w:marTop w:val="0"/>
      <w:marBottom w:val="0"/>
      <w:divBdr>
        <w:top w:val="none" w:sz="0" w:space="0" w:color="auto"/>
        <w:left w:val="none" w:sz="0" w:space="0" w:color="auto"/>
        <w:bottom w:val="none" w:sz="0" w:space="0" w:color="auto"/>
        <w:right w:val="none" w:sz="0" w:space="0" w:color="auto"/>
      </w:divBdr>
    </w:div>
    <w:div w:id="1851487737">
      <w:bodyDiv w:val="1"/>
      <w:marLeft w:val="0"/>
      <w:marRight w:val="0"/>
      <w:marTop w:val="0"/>
      <w:marBottom w:val="0"/>
      <w:divBdr>
        <w:top w:val="none" w:sz="0" w:space="0" w:color="auto"/>
        <w:left w:val="none" w:sz="0" w:space="0" w:color="auto"/>
        <w:bottom w:val="none" w:sz="0" w:space="0" w:color="auto"/>
        <w:right w:val="none" w:sz="0" w:space="0" w:color="auto"/>
      </w:divBdr>
    </w:div>
    <w:div w:id="1855997731">
      <w:bodyDiv w:val="1"/>
      <w:marLeft w:val="0"/>
      <w:marRight w:val="0"/>
      <w:marTop w:val="0"/>
      <w:marBottom w:val="0"/>
      <w:divBdr>
        <w:top w:val="none" w:sz="0" w:space="0" w:color="auto"/>
        <w:left w:val="none" w:sz="0" w:space="0" w:color="auto"/>
        <w:bottom w:val="none" w:sz="0" w:space="0" w:color="auto"/>
        <w:right w:val="none" w:sz="0" w:space="0" w:color="auto"/>
      </w:divBdr>
    </w:div>
    <w:div w:id="1868715968">
      <w:bodyDiv w:val="1"/>
      <w:marLeft w:val="0"/>
      <w:marRight w:val="0"/>
      <w:marTop w:val="0"/>
      <w:marBottom w:val="0"/>
      <w:divBdr>
        <w:top w:val="none" w:sz="0" w:space="0" w:color="auto"/>
        <w:left w:val="none" w:sz="0" w:space="0" w:color="auto"/>
        <w:bottom w:val="none" w:sz="0" w:space="0" w:color="auto"/>
        <w:right w:val="none" w:sz="0" w:space="0" w:color="auto"/>
      </w:divBdr>
    </w:div>
    <w:div w:id="1879734315">
      <w:bodyDiv w:val="1"/>
      <w:marLeft w:val="0"/>
      <w:marRight w:val="0"/>
      <w:marTop w:val="0"/>
      <w:marBottom w:val="0"/>
      <w:divBdr>
        <w:top w:val="none" w:sz="0" w:space="0" w:color="auto"/>
        <w:left w:val="none" w:sz="0" w:space="0" w:color="auto"/>
        <w:bottom w:val="none" w:sz="0" w:space="0" w:color="auto"/>
        <w:right w:val="none" w:sz="0" w:space="0" w:color="auto"/>
      </w:divBdr>
    </w:div>
    <w:div w:id="1901792051">
      <w:bodyDiv w:val="1"/>
      <w:marLeft w:val="0"/>
      <w:marRight w:val="0"/>
      <w:marTop w:val="0"/>
      <w:marBottom w:val="0"/>
      <w:divBdr>
        <w:top w:val="none" w:sz="0" w:space="0" w:color="auto"/>
        <w:left w:val="none" w:sz="0" w:space="0" w:color="auto"/>
        <w:bottom w:val="none" w:sz="0" w:space="0" w:color="auto"/>
        <w:right w:val="none" w:sz="0" w:space="0" w:color="auto"/>
      </w:divBdr>
    </w:div>
    <w:div w:id="1904412498">
      <w:bodyDiv w:val="1"/>
      <w:marLeft w:val="0"/>
      <w:marRight w:val="0"/>
      <w:marTop w:val="0"/>
      <w:marBottom w:val="0"/>
      <w:divBdr>
        <w:top w:val="none" w:sz="0" w:space="0" w:color="auto"/>
        <w:left w:val="none" w:sz="0" w:space="0" w:color="auto"/>
        <w:bottom w:val="none" w:sz="0" w:space="0" w:color="auto"/>
        <w:right w:val="none" w:sz="0" w:space="0" w:color="auto"/>
      </w:divBdr>
    </w:div>
    <w:div w:id="1913005086">
      <w:bodyDiv w:val="1"/>
      <w:marLeft w:val="0"/>
      <w:marRight w:val="0"/>
      <w:marTop w:val="0"/>
      <w:marBottom w:val="0"/>
      <w:divBdr>
        <w:top w:val="none" w:sz="0" w:space="0" w:color="auto"/>
        <w:left w:val="none" w:sz="0" w:space="0" w:color="auto"/>
        <w:bottom w:val="none" w:sz="0" w:space="0" w:color="auto"/>
        <w:right w:val="none" w:sz="0" w:space="0" w:color="auto"/>
      </w:divBdr>
    </w:div>
    <w:div w:id="1913201603">
      <w:bodyDiv w:val="1"/>
      <w:marLeft w:val="0"/>
      <w:marRight w:val="0"/>
      <w:marTop w:val="0"/>
      <w:marBottom w:val="0"/>
      <w:divBdr>
        <w:top w:val="none" w:sz="0" w:space="0" w:color="auto"/>
        <w:left w:val="none" w:sz="0" w:space="0" w:color="auto"/>
        <w:bottom w:val="none" w:sz="0" w:space="0" w:color="auto"/>
        <w:right w:val="none" w:sz="0" w:space="0" w:color="auto"/>
      </w:divBdr>
    </w:div>
    <w:div w:id="1933706228">
      <w:bodyDiv w:val="1"/>
      <w:marLeft w:val="0"/>
      <w:marRight w:val="0"/>
      <w:marTop w:val="0"/>
      <w:marBottom w:val="0"/>
      <w:divBdr>
        <w:top w:val="none" w:sz="0" w:space="0" w:color="auto"/>
        <w:left w:val="none" w:sz="0" w:space="0" w:color="auto"/>
        <w:bottom w:val="none" w:sz="0" w:space="0" w:color="auto"/>
        <w:right w:val="none" w:sz="0" w:space="0" w:color="auto"/>
      </w:divBdr>
    </w:div>
    <w:div w:id="1956400632">
      <w:bodyDiv w:val="1"/>
      <w:marLeft w:val="0"/>
      <w:marRight w:val="0"/>
      <w:marTop w:val="0"/>
      <w:marBottom w:val="0"/>
      <w:divBdr>
        <w:top w:val="none" w:sz="0" w:space="0" w:color="auto"/>
        <w:left w:val="none" w:sz="0" w:space="0" w:color="auto"/>
        <w:bottom w:val="none" w:sz="0" w:space="0" w:color="auto"/>
        <w:right w:val="none" w:sz="0" w:space="0" w:color="auto"/>
      </w:divBdr>
    </w:div>
    <w:div w:id="1973754594">
      <w:bodyDiv w:val="1"/>
      <w:marLeft w:val="0"/>
      <w:marRight w:val="0"/>
      <w:marTop w:val="0"/>
      <w:marBottom w:val="0"/>
      <w:divBdr>
        <w:top w:val="none" w:sz="0" w:space="0" w:color="auto"/>
        <w:left w:val="none" w:sz="0" w:space="0" w:color="auto"/>
        <w:bottom w:val="none" w:sz="0" w:space="0" w:color="auto"/>
        <w:right w:val="none" w:sz="0" w:space="0" w:color="auto"/>
      </w:divBdr>
    </w:div>
    <w:div w:id="2004309083">
      <w:bodyDiv w:val="1"/>
      <w:marLeft w:val="0"/>
      <w:marRight w:val="0"/>
      <w:marTop w:val="0"/>
      <w:marBottom w:val="0"/>
      <w:divBdr>
        <w:top w:val="none" w:sz="0" w:space="0" w:color="auto"/>
        <w:left w:val="none" w:sz="0" w:space="0" w:color="auto"/>
        <w:bottom w:val="none" w:sz="0" w:space="0" w:color="auto"/>
        <w:right w:val="none" w:sz="0" w:space="0" w:color="auto"/>
      </w:divBdr>
    </w:div>
    <w:div w:id="2004964213">
      <w:bodyDiv w:val="1"/>
      <w:marLeft w:val="0"/>
      <w:marRight w:val="0"/>
      <w:marTop w:val="0"/>
      <w:marBottom w:val="0"/>
      <w:divBdr>
        <w:top w:val="none" w:sz="0" w:space="0" w:color="auto"/>
        <w:left w:val="none" w:sz="0" w:space="0" w:color="auto"/>
        <w:bottom w:val="none" w:sz="0" w:space="0" w:color="auto"/>
        <w:right w:val="none" w:sz="0" w:space="0" w:color="auto"/>
      </w:divBdr>
    </w:div>
    <w:div w:id="2012442843">
      <w:bodyDiv w:val="1"/>
      <w:marLeft w:val="0"/>
      <w:marRight w:val="0"/>
      <w:marTop w:val="0"/>
      <w:marBottom w:val="0"/>
      <w:divBdr>
        <w:top w:val="none" w:sz="0" w:space="0" w:color="auto"/>
        <w:left w:val="none" w:sz="0" w:space="0" w:color="auto"/>
        <w:bottom w:val="none" w:sz="0" w:space="0" w:color="auto"/>
        <w:right w:val="none" w:sz="0" w:space="0" w:color="auto"/>
      </w:divBdr>
    </w:div>
    <w:div w:id="2045904956">
      <w:bodyDiv w:val="1"/>
      <w:marLeft w:val="0"/>
      <w:marRight w:val="0"/>
      <w:marTop w:val="0"/>
      <w:marBottom w:val="0"/>
      <w:divBdr>
        <w:top w:val="none" w:sz="0" w:space="0" w:color="auto"/>
        <w:left w:val="none" w:sz="0" w:space="0" w:color="auto"/>
        <w:bottom w:val="none" w:sz="0" w:space="0" w:color="auto"/>
        <w:right w:val="none" w:sz="0" w:space="0" w:color="auto"/>
      </w:divBdr>
    </w:div>
    <w:div w:id="2046368173">
      <w:bodyDiv w:val="1"/>
      <w:marLeft w:val="0"/>
      <w:marRight w:val="0"/>
      <w:marTop w:val="0"/>
      <w:marBottom w:val="0"/>
      <w:divBdr>
        <w:top w:val="none" w:sz="0" w:space="0" w:color="auto"/>
        <w:left w:val="none" w:sz="0" w:space="0" w:color="auto"/>
        <w:bottom w:val="none" w:sz="0" w:space="0" w:color="auto"/>
        <w:right w:val="none" w:sz="0" w:space="0" w:color="auto"/>
      </w:divBdr>
    </w:div>
    <w:div w:id="2057386298">
      <w:bodyDiv w:val="1"/>
      <w:marLeft w:val="0"/>
      <w:marRight w:val="0"/>
      <w:marTop w:val="0"/>
      <w:marBottom w:val="0"/>
      <w:divBdr>
        <w:top w:val="none" w:sz="0" w:space="0" w:color="auto"/>
        <w:left w:val="none" w:sz="0" w:space="0" w:color="auto"/>
        <w:bottom w:val="none" w:sz="0" w:space="0" w:color="auto"/>
        <w:right w:val="none" w:sz="0" w:space="0" w:color="auto"/>
      </w:divBdr>
    </w:div>
    <w:div w:id="2089112445">
      <w:bodyDiv w:val="1"/>
      <w:marLeft w:val="0"/>
      <w:marRight w:val="0"/>
      <w:marTop w:val="0"/>
      <w:marBottom w:val="0"/>
      <w:divBdr>
        <w:top w:val="none" w:sz="0" w:space="0" w:color="auto"/>
        <w:left w:val="none" w:sz="0" w:space="0" w:color="auto"/>
        <w:bottom w:val="none" w:sz="0" w:space="0" w:color="auto"/>
        <w:right w:val="none" w:sz="0" w:space="0" w:color="auto"/>
      </w:divBdr>
    </w:div>
    <w:div w:id="2097440339">
      <w:bodyDiv w:val="1"/>
      <w:marLeft w:val="0"/>
      <w:marRight w:val="0"/>
      <w:marTop w:val="0"/>
      <w:marBottom w:val="0"/>
      <w:divBdr>
        <w:top w:val="none" w:sz="0" w:space="0" w:color="auto"/>
        <w:left w:val="none" w:sz="0" w:space="0" w:color="auto"/>
        <w:bottom w:val="none" w:sz="0" w:space="0" w:color="auto"/>
        <w:right w:val="none" w:sz="0" w:space="0" w:color="auto"/>
      </w:divBdr>
    </w:div>
    <w:div w:id="2106538305">
      <w:bodyDiv w:val="1"/>
      <w:marLeft w:val="0"/>
      <w:marRight w:val="0"/>
      <w:marTop w:val="0"/>
      <w:marBottom w:val="0"/>
      <w:divBdr>
        <w:top w:val="none" w:sz="0" w:space="0" w:color="auto"/>
        <w:left w:val="none" w:sz="0" w:space="0" w:color="auto"/>
        <w:bottom w:val="none" w:sz="0" w:space="0" w:color="auto"/>
        <w:right w:val="none" w:sz="0" w:space="0" w:color="auto"/>
      </w:divBdr>
    </w:div>
    <w:div w:id="2141533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n.wikipedia.org/wiki/South_Luzon_Expresswa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n.wikipedia.org/wiki/Newport_City,_Philippine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n.wikipedia.org/wiki/Department_of_National_Defense_%28Philippines%29" TargetMode="External"/><Relationship Id="rId4" Type="http://schemas.openxmlformats.org/officeDocument/2006/relationships/settings" Target="settings.xml"/><Relationship Id="rId9" Type="http://schemas.openxmlformats.org/officeDocument/2006/relationships/hyperlink" Target="https://en.wikipedia.org/wiki/Armed_Forces_of_the_Philippines"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53E44-E5E6-4910-81CB-A09437455F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TotalTime>
  <Pages>25</Pages>
  <Words>7065</Words>
  <Characters>40272</Characters>
  <Application>Microsoft Office Word</Application>
  <DocSecurity>0</DocSecurity>
  <Lines>335</Lines>
  <Paragraphs>94</Paragraphs>
  <ScaleCrop>false</ScaleCrop>
  <HeadingPairs>
    <vt:vector size="2" baseType="variant">
      <vt:variant>
        <vt:lpstr>Title</vt:lpstr>
      </vt:variant>
      <vt:variant>
        <vt:i4>1</vt:i4>
      </vt:variant>
    </vt:vector>
  </HeadingPairs>
  <TitlesOfParts>
    <vt:vector size="1" baseType="lpstr">
      <vt:lpstr>Notes to Financial Statements</vt:lpstr>
    </vt:vector>
  </TitlesOfParts>
  <Company/>
  <LinksUpToDate>false</LinksUpToDate>
  <CharactersWithSpaces>47243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Notes to Financial Statements</dc:title>
  <dc:creator>COA - Philippine State College of Aeronautics</dc:creator>
  <cp:lastModifiedBy>Judivina Antonette P. Canlas</cp:lastModifiedBy>
  <cp:revision>7</cp:revision>
  <cp:lastPrinted>2017-05-23T10:00:00Z</cp:lastPrinted>
  <dcterms:created xsi:type="dcterms:W3CDTF">2017-06-05T08:13:00Z</dcterms:created>
  <dcterms:modified xsi:type="dcterms:W3CDTF">2017-06-09T02:35:00Z</dcterms:modified>
</cp:coreProperties>
</file>